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36"/>
        </w:rPr>
      </w:pPr>
    </w:p>
    <w:p>
      <w:pPr>
        <w:pStyle w:val="BodyText"/>
        <w:ind w:left="0"/>
        <w:rPr>
          <w:rFonts w:ascii="Times New Roman"/>
          <w:sz w:val="36"/>
        </w:rPr>
      </w:pPr>
    </w:p>
    <w:p>
      <w:pPr>
        <w:pStyle w:val="BodyText"/>
        <w:ind w:left="0"/>
        <w:rPr>
          <w:rFonts w:ascii="Times New Roman"/>
          <w:sz w:val="36"/>
        </w:rPr>
      </w:pPr>
    </w:p>
    <w:p>
      <w:pPr>
        <w:pStyle w:val="BodyText"/>
        <w:ind w:left="0"/>
        <w:rPr>
          <w:rFonts w:ascii="Times New Roman"/>
          <w:sz w:val="36"/>
        </w:rPr>
      </w:pPr>
    </w:p>
    <w:p>
      <w:pPr>
        <w:pStyle w:val="BodyText"/>
        <w:ind w:left="0"/>
        <w:rPr>
          <w:rFonts w:ascii="Times New Roman"/>
          <w:sz w:val="36"/>
        </w:rPr>
      </w:pPr>
    </w:p>
    <w:p>
      <w:pPr>
        <w:pStyle w:val="BodyText"/>
        <w:spacing w:before="19"/>
        <w:ind w:left="0"/>
        <w:rPr>
          <w:rFonts w:ascii="Times New Roman"/>
          <w:sz w:val="36"/>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-1586856</wp:posOffset>
                </wp:positionV>
                <wp:extent cx="7772400" cy="126936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269365"/>
                          <a:chExt cx="7772400" cy="1269365"/>
                        </a:xfrm>
                      </wpg:grpSpPr>
                      <wps:wsp>
                        <wps:cNvPr id="2" name="Graphic 2"/>
                        <wps:cNvSpPr/>
                        <wps:spPr>
                          <a:xfrm>
                            <a:off x="0" y="650251"/>
                            <a:ext cx="7772400" cy="619125"/>
                          </a:xfrm>
                          <a:custGeom>
                            <a:avLst/>
                            <a:gdLst/>
                            <a:ahLst/>
                            <a:cxnLst/>
                            <a:rect l="l" t="t" r="r" b="b"/>
                            <a:pathLst>
                              <a:path w="7772400" h="619125">
                                <a:moveTo>
                                  <a:pt x="7772400" y="0"/>
                                </a:moveTo>
                                <a:lnTo>
                                  <a:pt x="0" y="0"/>
                                </a:lnTo>
                                <a:lnTo>
                                  <a:pt x="0" y="619112"/>
                                </a:lnTo>
                                <a:lnTo>
                                  <a:pt x="7772400" y="619112"/>
                                </a:lnTo>
                                <a:lnTo>
                                  <a:pt x="7772400" y="0"/>
                                </a:lnTo>
                                <a:close/>
                              </a:path>
                            </a:pathLst>
                          </a:custGeom>
                          <a:solidFill>
                            <a:srgbClr val="00427D"/>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6290945" y="0"/>
                            <a:ext cx="951864" cy="962023"/>
                          </a:xfrm>
                          <a:prstGeom prst="rect">
                            <a:avLst/>
                          </a:prstGeom>
                        </pic:spPr>
                      </pic:pic>
                      <wps:wsp>
                        <wps:cNvPr id="4" name="Textbox 4"/>
                        <wps:cNvSpPr txBox="1"/>
                        <wps:spPr>
                          <a:xfrm>
                            <a:off x="0" y="0"/>
                            <a:ext cx="7772400" cy="1269365"/>
                          </a:xfrm>
                          <a:prstGeom prst="rect">
                            <a:avLst/>
                          </a:prstGeom>
                        </wps:spPr>
                        <wps:txbx>
                          <w:txbxContent>
                            <w:p>
                              <w:pPr>
                                <w:spacing w:line="240" w:lineRule="auto" w:before="0"/>
                                <w:rPr>
                                  <w:sz w:val="48"/>
                                </w:rPr>
                              </w:pPr>
                            </w:p>
                            <w:p>
                              <w:pPr>
                                <w:spacing w:line="240" w:lineRule="auto" w:before="0"/>
                                <w:rPr>
                                  <w:sz w:val="48"/>
                                </w:rPr>
                              </w:pPr>
                            </w:p>
                            <w:p>
                              <w:pPr>
                                <w:spacing w:before="1"/>
                                <w:ind w:left="439" w:right="0" w:firstLine="0"/>
                                <w:jc w:val="left"/>
                                <w:rPr>
                                  <w:sz w:val="48"/>
                                </w:rPr>
                              </w:pPr>
                              <w:r>
                                <w:rPr>
                                  <w:color w:val="FFFFFF"/>
                                  <w:sz w:val="48"/>
                                </w:rPr>
                                <w:t>APPEAL</w:t>
                              </w:r>
                              <w:r>
                                <w:rPr>
                                  <w:color w:val="FFFFFF"/>
                                  <w:spacing w:val="-10"/>
                                  <w:sz w:val="48"/>
                                </w:rPr>
                                <w:t> </w:t>
                              </w:r>
                              <w:r>
                                <w:rPr>
                                  <w:color w:val="FFFFFF"/>
                                  <w:sz w:val="48"/>
                                </w:rPr>
                                <w:t>LETTER</w:t>
                              </w:r>
                              <w:r>
                                <w:rPr>
                                  <w:color w:val="FFFFFF"/>
                                  <w:spacing w:val="-6"/>
                                  <w:sz w:val="48"/>
                                </w:rPr>
                                <w:t> </w:t>
                              </w:r>
                              <w:r>
                                <w:rPr>
                                  <w:color w:val="FFFFFF"/>
                                  <w:spacing w:val="-2"/>
                                  <w:sz w:val="48"/>
                                </w:rPr>
                                <w:t>TEMPLATE</w:t>
                              </w:r>
                            </w:p>
                          </w:txbxContent>
                        </wps:txbx>
                        <wps:bodyPr wrap="square" lIns="0" tIns="0" rIns="0" bIns="0" rtlCol="0">
                          <a:noAutofit/>
                        </wps:bodyPr>
                      </wps:wsp>
                    </wpg:wgp>
                  </a:graphicData>
                </a:graphic>
              </wp:anchor>
            </w:drawing>
          </mc:Choice>
          <mc:Fallback>
            <w:pict>
              <v:group style="position:absolute;margin-left:0pt;margin-top:-124.949326pt;width:612pt;height:99.95pt;mso-position-horizontal-relative:page;mso-position-vertical-relative:paragraph;z-index:15728640" id="docshapegroup1" coordorigin="0,-2499" coordsize="12240,1999">
                <v:rect style="position:absolute;left:0;top:-1475;width:12240;height:975" id="docshape2" filled="true" fillcolor="#00427d" stroked="false">
                  <v:fill type="solid"/>
                </v:rect>
                <v:shape style="position:absolute;left:9907;top:-2499;width:1499;height:1515" type="#_x0000_t75" id="docshape3" stroked="false">
                  <v:imagedata r:id="rId5" o:title=""/>
                </v:shape>
                <v:shapetype id="_x0000_t202" o:spt="202" coordsize="21600,21600" path="m,l,21600r21600,l21600,xe">
                  <v:stroke joinstyle="miter"/>
                  <v:path gradientshapeok="t" o:connecttype="rect"/>
                </v:shapetype>
                <v:shape style="position:absolute;left:0;top:-2499;width:12240;height:1999" type="#_x0000_t202" id="docshape4" filled="false" stroked="false">
                  <v:textbox inset="0,0,0,0">
                    <w:txbxContent>
                      <w:p>
                        <w:pPr>
                          <w:spacing w:line="240" w:lineRule="auto" w:before="0"/>
                          <w:rPr>
                            <w:sz w:val="48"/>
                          </w:rPr>
                        </w:pPr>
                      </w:p>
                      <w:p>
                        <w:pPr>
                          <w:spacing w:line="240" w:lineRule="auto" w:before="0"/>
                          <w:rPr>
                            <w:sz w:val="48"/>
                          </w:rPr>
                        </w:pPr>
                      </w:p>
                      <w:p>
                        <w:pPr>
                          <w:spacing w:before="1"/>
                          <w:ind w:left="439" w:right="0" w:firstLine="0"/>
                          <w:jc w:val="left"/>
                          <w:rPr>
                            <w:sz w:val="48"/>
                          </w:rPr>
                        </w:pPr>
                        <w:r>
                          <w:rPr>
                            <w:color w:val="FFFFFF"/>
                            <w:sz w:val="48"/>
                          </w:rPr>
                          <w:t>APPEAL</w:t>
                        </w:r>
                        <w:r>
                          <w:rPr>
                            <w:color w:val="FFFFFF"/>
                            <w:spacing w:val="-10"/>
                            <w:sz w:val="48"/>
                          </w:rPr>
                          <w:t> </w:t>
                        </w:r>
                        <w:r>
                          <w:rPr>
                            <w:color w:val="FFFFFF"/>
                            <w:sz w:val="48"/>
                          </w:rPr>
                          <w:t>LETTER</w:t>
                        </w:r>
                        <w:r>
                          <w:rPr>
                            <w:color w:val="FFFFFF"/>
                            <w:spacing w:val="-6"/>
                            <w:sz w:val="48"/>
                          </w:rPr>
                          <w:t> </w:t>
                        </w:r>
                        <w:r>
                          <w:rPr>
                            <w:color w:val="FFFFFF"/>
                            <w:spacing w:val="-2"/>
                            <w:sz w:val="48"/>
                          </w:rPr>
                          <w:t>TEMPLATE</w:t>
                        </w:r>
                      </w:p>
                    </w:txbxContent>
                  </v:textbox>
                  <w10:wrap type="none"/>
                </v:shape>
                <w10:wrap type="none"/>
              </v:group>
            </w:pict>
          </mc:Fallback>
        </mc:AlternateContent>
      </w:r>
      <w:bookmarkStart w:name="BFR0002-2336-RP-2.1-Claim-Appeal-Templat" w:id="1"/>
      <w:bookmarkEnd w:id="1"/>
      <w:r>
        <w:rPr>
          <w:b w:val="0"/>
        </w:rPr>
      </w:r>
      <w:r>
        <w:rPr>
          <w:color w:val="1F477B"/>
        </w:rPr>
        <w:t>APPEAL</w:t>
      </w:r>
      <w:r>
        <w:rPr>
          <w:color w:val="1F477B"/>
          <w:spacing w:val="-3"/>
        </w:rPr>
        <w:t> </w:t>
      </w:r>
      <w:r>
        <w:rPr>
          <w:color w:val="1F477B"/>
        </w:rPr>
        <w:t>LETTER</w:t>
      </w:r>
      <w:r>
        <w:rPr>
          <w:color w:val="1F477B"/>
          <w:spacing w:val="-9"/>
        </w:rPr>
        <w:t> </w:t>
      </w:r>
      <w:r>
        <w:rPr>
          <w:color w:val="1F477B"/>
          <w:spacing w:val="-2"/>
        </w:rPr>
        <w:t>TEMPLATE</w:t>
      </w:r>
    </w:p>
    <w:p>
      <w:pPr>
        <w:spacing w:before="31"/>
        <w:ind w:left="484" w:right="484" w:firstLine="0"/>
        <w:jc w:val="center"/>
        <w:rPr>
          <w:rFonts w:ascii="Arial"/>
          <w:sz w:val="28"/>
        </w:rPr>
      </w:pPr>
      <w:r>
        <w:rPr>
          <w:rFonts w:ascii="Arial"/>
          <w:color w:val="1F477B"/>
          <w:sz w:val="28"/>
        </w:rPr>
        <w:t>To</w:t>
      </w:r>
      <w:r>
        <w:rPr>
          <w:rFonts w:ascii="Arial"/>
          <w:color w:val="1F477B"/>
          <w:spacing w:val="-15"/>
          <w:sz w:val="28"/>
        </w:rPr>
        <w:t> </w:t>
      </w:r>
      <w:r>
        <w:rPr>
          <w:rFonts w:ascii="Arial"/>
          <w:color w:val="1F477B"/>
          <w:sz w:val="28"/>
        </w:rPr>
        <w:t>be</w:t>
      </w:r>
      <w:r>
        <w:rPr>
          <w:rFonts w:ascii="Arial"/>
          <w:color w:val="1F477B"/>
          <w:spacing w:val="-10"/>
          <w:sz w:val="28"/>
        </w:rPr>
        <w:t> </w:t>
      </w:r>
      <w:r>
        <w:rPr>
          <w:rFonts w:ascii="Arial"/>
          <w:color w:val="1F477B"/>
          <w:sz w:val="28"/>
        </w:rPr>
        <w:t>considered</w:t>
      </w:r>
      <w:r>
        <w:rPr>
          <w:rFonts w:ascii="Arial"/>
          <w:color w:val="1F477B"/>
          <w:spacing w:val="-13"/>
          <w:sz w:val="28"/>
        </w:rPr>
        <w:t> </w:t>
      </w:r>
      <w:r>
        <w:rPr>
          <w:rFonts w:ascii="Arial"/>
          <w:color w:val="1F477B"/>
          <w:sz w:val="28"/>
        </w:rPr>
        <w:t>when</w:t>
      </w:r>
      <w:r>
        <w:rPr>
          <w:rFonts w:ascii="Arial"/>
          <w:color w:val="1F477B"/>
          <w:spacing w:val="-6"/>
          <w:sz w:val="28"/>
        </w:rPr>
        <w:t> </w:t>
      </w:r>
      <w:r>
        <w:rPr>
          <w:rFonts w:ascii="Arial"/>
          <w:color w:val="1F477B"/>
          <w:sz w:val="28"/>
        </w:rPr>
        <w:t>appealing</w:t>
      </w:r>
      <w:r>
        <w:rPr>
          <w:rFonts w:ascii="Arial"/>
          <w:color w:val="1F477B"/>
          <w:spacing w:val="-10"/>
          <w:sz w:val="28"/>
        </w:rPr>
        <w:t> </w:t>
      </w:r>
      <w:r>
        <w:rPr>
          <w:rFonts w:ascii="Arial"/>
          <w:color w:val="1F477B"/>
          <w:sz w:val="28"/>
        </w:rPr>
        <w:t>a</w:t>
      </w:r>
      <w:r>
        <w:rPr>
          <w:rFonts w:ascii="Arial"/>
          <w:color w:val="1F477B"/>
          <w:spacing w:val="-5"/>
          <w:sz w:val="28"/>
        </w:rPr>
        <w:t> </w:t>
      </w:r>
      <w:r>
        <w:rPr>
          <w:rFonts w:ascii="Arial"/>
          <w:color w:val="1F477B"/>
          <w:sz w:val="28"/>
        </w:rPr>
        <w:t>denied</w:t>
      </w:r>
      <w:r>
        <w:rPr>
          <w:rFonts w:ascii="Arial"/>
          <w:color w:val="1F477B"/>
          <w:spacing w:val="-10"/>
          <w:sz w:val="28"/>
        </w:rPr>
        <w:t> </w:t>
      </w:r>
      <w:r>
        <w:rPr>
          <w:rFonts w:ascii="Arial"/>
          <w:color w:val="1F477B"/>
          <w:spacing w:val="-2"/>
          <w:sz w:val="28"/>
        </w:rPr>
        <w:t>claim</w:t>
      </w:r>
    </w:p>
    <w:p>
      <w:pPr>
        <w:pStyle w:val="BodyText"/>
        <w:ind w:left="0"/>
        <w:rPr>
          <w:rFonts w:ascii="Arial"/>
          <w:sz w:val="28"/>
        </w:rPr>
      </w:pPr>
    </w:p>
    <w:p>
      <w:pPr>
        <w:pStyle w:val="BodyText"/>
        <w:spacing w:before="63"/>
        <w:ind w:left="0"/>
        <w:rPr>
          <w:rFonts w:ascii="Arial"/>
          <w:sz w:val="28"/>
        </w:rPr>
      </w:pPr>
    </w:p>
    <w:p>
      <w:pPr>
        <w:pStyle w:val="Heading2"/>
        <w:spacing w:line="259" w:lineRule="auto"/>
      </w:pPr>
      <w:r>
        <w:rPr>
          <w:color w:val="1F477B"/>
        </w:rPr>
        <w:t>Please</w:t>
      </w:r>
      <w:r>
        <w:rPr>
          <w:color w:val="1F477B"/>
          <w:spacing w:val="-7"/>
        </w:rPr>
        <w:t> </w:t>
      </w:r>
      <w:r>
        <w:rPr>
          <w:color w:val="1F477B"/>
        </w:rPr>
        <w:t>understand</w:t>
      </w:r>
      <w:r>
        <w:rPr>
          <w:color w:val="1F477B"/>
          <w:spacing w:val="-1"/>
        </w:rPr>
        <w:t> </w:t>
      </w:r>
      <w:r>
        <w:rPr>
          <w:color w:val="1F477B"/>
        </w:rPr>
        <w:t>that</w:t>
      </w:r>
      <w:r>
        <w:rPr>
          <w:color w:val="1F477B"/>
          <w:spacing w:val="-4"/>
        </w:rPr>
        <w:t> </w:t>
      </w:r>
      <w:r>
        <w:rPr>
          <w:color w:val="1F477B"/>
        </w:rPr>
        <w:t>all</w:t>
      </w:r>
      <w:r>
        <w:rPr>
          <w:color w:val="1F477B"/>
          <w:spacing w:val="-6"/>
        </w:rPr>
        <w:t> </w:t>
      </w:r>
      <w:r>
        <w:rPr>
          <w:color w:val="1F477B"/>
        </w:rPr>
        <w:t>payer’s</w:t>
      </w:r>
      <w:r>
        <w:rPr>
          <w:color w:val="1F477B"/>
          <w:spacing w:val="-2"/>
        </w:rPr>
        <w:t> </w:t>
      </w:r>
      <w:r>
        <w:rPr>
          <w:color w:val="1F477B"/>
        </w:rPr>
        <w:t>appeal</w:t>
      </w:r>
      <w:r>
        <w:rPr>
          <w:color w:val="1F477B"/>
          <w:spacing w:val="-5"/>
        </w:rPr>
        <w:t> </w:t>
      </w:r>
      <w:r>
        <w:rPr>
          <w:color w:val="1F477B"/>
        </w:rPr>
        <w:t>processes</w:t>
      </w:r>
      <w:r>
        <w:rPr>
          <w:color w:val="1F477B"/>
          <w:spacing w:val="-5"/>
        </w:rPr>
        <w:t> </w:t>
      </w:r>
      <w:r>
        <w:rPr>
          <w:color w:val="1F477B"/>
        </w:rPr>
        <w:t>are</w:t>
      </w:r>
      <w:r>
        <w:rPr>
          <w:color w:val="1F477B"/>
          <w:spacing w:val="-5"/>
        </w:rPr>
        <w:t> </w:t>
      </w:r>
      <w:r>
        <w:rPr>
          <w:color w:val="1F477B"/>
        </w:rPr>
        <w:t>different.</w:t>
      </w:r>
      <w:r>
        <w:rPr>
          <w:color w:val="1F477B"/>
          <w:spacing w:val="-3"/>
        </w:rPr>
        <w:t> </w:t>
      </w:r>
      <w:r>
        <w:rPr>
          <w:color w:val="1F477B"/>
        </w:rPr>
        <w:t>Before</w:t>
      </w:r>
      <w:r>
        <w:rPr>
          <w:color w:val="1F477B"/>
          <w:spacing w:val="-2"/>
        </w:rPr>
        <w:t> </w:t>
      </w:r>
      <w:r>
        <w:rPr>
          <w:color w:val="1F477B"/>
        </w:rPr>
        <w:t>you</w:t>
      </w:r>
      <w:r>
        <w:rPr>
          <w:color w:val="1F477B"/>
          <w:spacing w:val="-3"/>
        </w:rPr>
        <w:t> </w:t>
      </w:r>
      <w:r>
        <w:rPr>
          <w:color w:val="1F477B"/>
        </w:rPr>
        <w:t>submit an appeal, please review the payer’s appeal process.</w:t>
      </w:r>
      <w:r>
        <w:rPr>
          <w:color w:val="1F477B"/>
          <w:spacing w:val="-14"/>
        </w:rPr>
        <w:t> </w:t>
      </w:r>
      <w:r>
        <w:rPr>
          <w:color w:val="1F477B"/>
        </w:rPr>
        <w:t>This letter should not be used in response to medical record requests, corrected claims information, or other administrative denial reasons. If you have any questions, please see the appeal checklist or contact the payer’s provider services representative.</w:t>
      </w:r>
    </w:p>
    <w:p>
      <w:pPr>
        <w:pStyle w:val="BodyText"/>
        <w:ind w:left="0"/>
        <w:rPr>
          <w:rFonts w:ascii="Arial"/>
          <w:b/>
          <w:sz w:val="28"/>
        </w:rPr>
      </w:pPr>
    </w:p>
    <w:p>
      <w:pPr>
        <w:pStyle w:val="BodyText"/>
        <w:spacing w:before="151"/>
        <w:ind w:left="0"/>
        <w:rPr>
          <w:rFonts w:ascii="Arial"/>
          <w:b/>
          <w:sz w:val="28"/>
        </w:rPr>
      </w:pPr>
    </w:p>
    <w:p>
      <w:pPr>
        <w:pStyle w:val="BodyText"/>
        <w:ind w:left="432"/>
        <w:jc w:val="both"/>
        <w:rPr>
          <w:rFonts w:ascii="Arial"/>
        </w:rPr>
      </w:pPr>
      <w:r>
        <w:rPr>
          <w:rFonts w:ascii="Arial"/>
        </w:rPr>
        <w:t>Instructions</w:t>
      </w:r>
      <w:r>
        <w:rPr>
          <w:rFonts w:ascii="Arial"/>
          <w:spacing w:val="-8"/>
        </w:rPr>
        <w:t> </w:t>
      </w:r>
      <w:r>
        <w:rPr>
          <w:rFonts w:ascii="Arial"/>
        </w:rPr>
        <w:t>for</w:t>
      </w:r>
      <w:r>
        <w:rPr>
          <w:rFonts w:ascii="Arial"/>
          <w:spacing w:val="-8"/>
        </w:rPr>
        <w:t> </w:t>
      </w:r>
      <w:r>
        <w:rPr>
          <w:rFonts w:ascii="Arial"/>
        </w:rPr>
        <w:t>completing</w:t>
      </w:r>
      <w:r>
        <w:rPr>
          <w:rFonts w:ascii="Arial"/>
          <w:spacing w:val="-5"/>
        </w:rPr>
        <w:t> </w:t>
      </w:r>
      <w:r>
        <w:rPr>
          <w:rFonts w:ascii="Arial"/>
        </w:rPr>
        <w:t>the</w:t>
      </w:r>
      <w:r>
        <w:rPr>
          <w:rFonts w:ascii="Arial"/>
          <w:spacing w:val="-7"/>
        </w:rPr>
        <w:t> </w:t>
      </w:r>
      <w:r>
        <w:rPr>
          <w:rFonts w:ascii="Arial"/>
        </w:rPr>
        <w:t>sample</w:t>
      </w:r>
      <w:r>
        <w:rPr>
          <w:rFonts w:ascii="Arial"/>
          <w:spacing w:val="-9"/>
        </w:rPr>
        <w:t> </w:t>
      </w:r>
      <w:r>
        <w:rPr>
          <w:rFonts w:ascii="Arial"/>
        </w:rPr>
        <w:t>appeal</w:t>
      </w:r>
      <w:r>
        <w:rPr>
          <w:rFonts w:ascii="Arial"/>
          <w:spacing w:val="-12"/>
        </w:rPr>
        <w:t> </w:t>
      </w:r>
      <w:r>
        <w:rPr>
          <w:rFonts w:ascii="Arial"/>
          <w:spacing w:val="-2"/>
        </w:rPr>
        <w:t>letter:</w:t>
      </w:r>
    </w:p>
    <w:p>
      <w:pPr>
        <w:pStyle w:val="ListParagraph"/>
        <w:numPr>
          <w:ilvl w:val="0"/>
          <w:numId w:val="1"/>
        </w:numPr>
        <w:tabs>
          <w:tab w:pos="676" w:val="left" w:leader="none"/>
        </w:tabs>
        <w:spacing w:line="259" w:lineRule="auto" w:before="146" w:after="0"/>
        <w:ind w:left="432" w:right="1657" w:firstLine="0"/>
        <w:jc w:val="left"/>
        <w:rPr>
          <w:rFonts w:ascii="Arial"/>
          <w:sz w:val="22"/>
        </w:rPr>
      </w:pPr>
      <w:r>
        <w:rPr>
          <w:rFonts w:ascii="Arial"/>
          <w:sz w:val="22"/>
        </w:rPr>
        <w:t>Please</w:t>
      </w:r>
      <w:r>
        <w:rPr>
          <w:rFonts w:ascii="Arial"/>
          <w:spacing w:val="-5"/>
          <w:sz w:val="22"/>
        </w:rPr>
        <w:t> </w:t>
      </w:r>
      <w:r>
        <w:rPr>
          <w:rFonts w:ascii="Arial"/>
          <w:sz w:val="22"/>
        </w:rPr>
        <w:t>customize</w:t>
      </w:r>
      <w:r>
        <w:rPr>
          <w:rFonts w:ascii="Arial"/>
          <w:spacing w:val="-9"/>
          <w:sz w:val="22"/>
        </w:rPr>
        <w:t> </w:t>
      </w:r>
      <w:r>
        <w:rPr>
          <w:rFonts w:ascii="Arial"/>
          <w:sz w:val="22"/>
        </w:rPr>
        <w:t>the</w:t>
      </w:r>
      <w:r>
        <w:rPr>
          <w:rFonts w:ascii="Arial"/>
          <w:spacing w:val="-9"/>
          <w:sz w:val="22"/>
        </w:rPr>
        <w:t> </w:t>
      </w:r>
      <w:r>
        <w:rPr>
          <w:rFonts w:ascii="Arial"/>
          <w:sz w:val="22"/>
        </w:rPr>
        <w:t>appeal</w:t>
      </w:r>
      <w:r>
        <w:rPr>
          <w:rFonts w:ascii="Arial"/>
          <w:spacing w:val="-5"/>
          <w:sz w:val="22"/>
        </w:rPr>
        <w:t> </w:t>
      </w:r>
      <w:r>
        <w:rPr>
          <w:rFonts w:ascii="Arial"/>
          <w:sz w:val="22"/>
        </w:rPr>
        <w:t>letter</w:t>
      </w:r>
      <w:r>
        <w:rPr>
          <w:rFonts w:ascii="Arial"/>
          <w:spacing w:val="-6"/>
          <w:sz w:val="22"/>
        </w:rPr>
        <w:t> </w:t>
      </w:r>
      <w:r>
        <w:rPr>
          <w:rFonts w:ascii="Arial"/>
          <w:sz w:val="22"/>
        </w:rPr>
        <w:t>template</w:t>
      </w:r>
      <w:r>
        <w:rPr>
          <w:rFonts w:ascii="Arial"/>
          <w:spacing w:val="-9"/>
          <w:sz w:val="22"/>
        </w:rPr>
        <w:t> </w:t>
      </w:r>
      <w:r>
        <w:rPr>
          <w:rFonts w:ascii="Arial"/>
          <w:sz w:val="22"/>
        </w:rPr>
        <w:t>based</w:t>
      </w:r>
      <w:r>
        <w:rPr>
          <w:rFonts w:ascii="Arial"/>
          <w:spacing w:val="-5"/>
          <w:sz w:val="22"/>
        </w:rPr>
        <w:t> </w:t>
      </w:r>
      <w:r>
        <w:rPr>
          <w:rFonts w:ascii="Arial"/>
          <w:sz w:val="22"/>
        </w:rPr>
        <w:t>on</w:t>
      </w:r>
      <w:r>
        <w:rPr>
          <w:rFonts w:ascii="Arial"/>
          <w:spacing w:val="-9"/>
          <w:sz w:val="22"/>
        </w:rPr>
        <w:t> </w:t>
      </w:r>
      <w:r>
        <w:rPr>
          <w:rFonts w:ascii="Arial"/>
          <w:sz w:val="22"/>
        </w:rPr>
        <w:t>the</w:t>
      </w:r>
      <w:r>
        <w:rPr>
          <w:rFonts w:ascii="Arial"/>
          <w:spacing w:val="-9"/>
          <w:sz w:val="22"/>
        </w:rPr>
        <w:t> </w:t>
      </w:r>
      <w:r>
        <w:rPr>
          <w:rFonts w:ascii="Arial"/>
          <w:sz w:val="22"/>
        </w:rPr>
        <w:t>medical</w:t>
      </w:r>
      <w:r>
        <w:rPr>
          <w:rFonts w:ascii="Arial"/>
          <w:spacing w:val="-7"/>
          <w:sz w:val="22"/>
        </w:rPr>
        <w:t> </w:t>
      </w:r>
      <w:r>
        <w:rPr>
          <w:rFonts w:ascii="Arial"/>
          <w:sz w:val="22"/>
        </w:rPr>
        <w:t>appropriateness.</w:t>
      </w:r>
      <w:r>
        <w:rPr>
          <w:rFonts w:ascii="Arial"/>
          <w:spacing w:val="-3"/>
          <w:sz w:val="22"/>
        </w:rPr>
        <w:t> </w:t>
      </w:r>
      <w:r>
        <w:rPr>
          <w:rFonts w:ascii="Arial"/>
          <w:sz w:val="22"/>
        </w:rPr>
        <w:t>Fields</w:t>
      </w:r>
      <w:r>
        <w:rPr>
          <w:rFonts w:ascii="Arial"/>
          <w:spacing w:val="-8"/>
          <w:sz w:val="22"/>
        </w:rPr>
        <w:t> </w:t>
      </w:r>
      <w:r>
        <w:rPr>
          <w:rFonts w:ascii="Arial"/>
          <w:sz w:val="22"/>
        </w:rPr>
        <w:t>required</w:t>
      </w:r>
      <w:r>
        <w:rPr>
          <w:rFonts w:ascii="Arial"/>
          <w:spacing w:val="-9"/>
          <w:sz w:val="22"/>
        </w:rPr>
        <w:t> </w:t>
      </w:r>
      <w:r>
        <w:rPr>
          <w:rFonts w:ascii="Arial"/>
          <w:sz w:val="22"/>
        </w:rPr>
        <w:t>for customization are in </w:t>
      </w:r>
      <w:r>
        <w:rPr>
          <w:rFonts w:ascii="Arial"/>
          <w:b/>
          <w:color w:val="FF0000"/>
          <w:sz w:val="22"/>
        </w:rPr>
        <w:t>RED</w:t>
      </w:r>
      <w:r>
        <w:rPr>
          <w:rFonts w:ascii="Arial"/>
          <w:sz w:val="22"/>
        </w:rPr>
        <w:t>.</w:t>
      </w:r>
    </w:p>
    <w:p>
      <w:pPr>
        <w:pStyle w:val="ListParagraph"/>
        <w:numPr>
          <w:ilvl w:val="0"/>
          <w:numId w:val="1"/>
        </w:numPr>
        <w:tabs>
          <w:tab w:pos="676" w:val="left" w:leader="none"/>
        </w:tabs>
        <w:spacing w:line="259" w:lineRule="auto" w:before="143" w:after="0"/>
        <w:ind w:left="432" w:right="1769" w:firstLine="0"/>
        <w:jc w:val="left"/>
        <w:rPr>
          <w:rFonts w:ascii="Arial" w:hAnsi="Arial"/>
          <w:sz w:val="22"/>
        </w:rPr>
      </w:pPr>
      <w:r>
        <w:rPr>
          <w:rFonts w:ascii="Arial" w:hAnsi="Arial"/>
          <w:sz w:val="22"/>
        </w:rPr>
        <w:t>It</w:t>
      </w:r>
      <w:r>
        <w:rPr>
          <w:rFonts w:ascii="Arial" w:hAnsi="Arial"/>
          <w:spacing w:val="-8"/>
          <w:sz w:val="22"/>
        </w:rPr>
        <w:t> </w:t>
      </w:r>
      <w:r>
        <w:rPr>
          <w:rFonts w:ascii="Arial" w:hAnsi="Arial"/>
          <w:sz w:val="22"/>
        </w:rPr>
        <w:t>is</w:t>
      </w:r>
      <w:r>
        <w:rPr>
          <w:rFonts w:ascii="Arial" w:hAnsi="Arial"/>
          <w:spacing w:val="-7"/>
          <w:sz w:val="22"/>
        </w:rPr>
        <w:t> </w:t>
      </w:r>
      <w:r>
        <w:rPr>
          <w:rFonts w:ascii="Arial" w:hAnsi="Arial"/>
          <w:sz w:val="22"/>
        </w:rPr>
        <w:t>important</w:t>
      </w:r>
      <w:r>
        <w:rPr>
          <w:rFonts w:ascii="Arial" w:hAnsi="Arial"/>
          <w:spacing w:val="-6"/>
          <w:sz w:val="22"/>
        </w:rPr>
        <w:t> </w:t>
      </w:r>
      <w:r>
        <w:rPr>
          <w:rFonts w:ascii="Arial" w:hAnsi="Arial"/>
          <w:sz w:val="22"/>
        </w:rPr>
        <w:t>to</w:t>
      </w:r>
      <w:r>
        <w:rPr>
          <w:rFonts w:ascii="Arial" w:hAnsi="Arial"/>
          <w:spacing w:val="-7"/>
          <w:sz w:val="22"/>
        </w:rPr>
        <w:t> </w:t>
      </w:r>
      <w:r>
        <w:rPr>
          <w:rFonts w:ascii="Arial" w:hAnsi="Arial"/>
          <w:sz w:val="22"/>
        </w:rPr>
        <w:t>provide</w:t>
      </w:r>
      <w:r>
        <w:rPr>
          <w:rFonts w:ascii="Arial" w:hAnsi="Arial"/>
          <w:spacing w:val="-10"/>
          <w:sz w:val="22"/>
        </w:rPr>
        <w:t> </w:t>
      </w:r>
      <w:r>
        <w:rPr>
          <w:rFonts w:ascii="Arial" w:hAnsi="Arial"/>
          <w:sz w:val="22"/>
        </w:rPr>
        <w:t>the</w:t>
      </w:r>
      <w:r>
        <w:rPr>
          <w:rFonts w:ascii="Arial" w:hAnsi="Arial"/>
          <w:spacing w:val="-7"/>
          <w:sz w:val="22"/>
        </w:rPr>
        <w:t> </w:t>
      </w:r>
      <w:r>
        <w:rPr>
          <w:rFonts w:ascii="Arial" w:hAnsi="Arial"/>
          <w:sz w:val="22"/>
        </w:rPr>
        <w:t>most</w:t>
      </w:r>
      <w:r>
        <w:rPr>
          <w:rFonts w:ascii="Arial" w:hAnsi="Arial"/>
          <w:spacing w:val="-6"/>
          <w:sz w:val="22"/>
        </w:rPr>
        <w:t> </w:t>
      </w:r>
      <w:r>
        <w:rPr>
          <w:rFonts w:ascii="Arial" w:hAnsi="Arial"/>
          <w:sz w:val="22"/>
        </w:rPr>
        <w:t>complete</w:t>
      </w:r>
      <w:r>
        <w:rPr>
          <w:rFonts w:ascii="Arial" w:hAnsi="Arial"/>
          <w:spacing w:val="-7"/>
          <w:sz w:val="22"/>
        </w:rPr>
        <w:t> </w:t>
      </w:r>
      <w:r>
        <w:rPr>
          <w:rFonts w:ascii="Arial" w:hAnsi="Arial"/>
          <w:sz w:val="22"/>
        </w:rPr>
        <w:t>information</w:t>
      </w:r>
      <w:r>
        <w:rPr>
          <w:rFonts w:ascii="Arial" w:hAnsi="Arial"/>
          <w:spacing w:val="-7"/>
          <w:sz w:val="22"/>
        </w:rPr>
        <w:t> </w:t>
      </w:r>
      <w:r>
        <w:rPr>
          <w:rFonts w:ascii="Arial" w:hAnsi="Arial"/>
          <w:sz w:val="22"/>
        </w:rPr>
        <w:t>to</w:t>
      </w:r>
      <w:r>
        <w:rPr>
          <w:rFonts w:ascii="Arial" w:hAnsi="Arial"/>
          <w:spacing w:val="-10"/>
          <w:sz w:val="22"/>
        </w:rPr>
        <w:t> </w:t>
      </w:r>
      <w:r>
        <w:rPr>
          <w:rFonts w:ascii="Arial" w:hAnsi="Arial"/>
          <w:sz w:val="22"/>
        </w:rPr>
        <w:t>assist</w:t>
      </w:r>
      <w:r>
        <w:rPr>
          <w:rFonts w:ascii="Arial" w:hAnsi="Arial"/>
          <w:spacing w:val="-6"/>
          <w:sz w:val="22"/>
        </w:rPr>
        <w:t> </w:t>
      </w:r>
      <w:r>
        <w:rPr>
          <w:rFonts w:ascii="Arial" w:hAnsi="Arial"/>
          <w:sz w:val="22"/>
        </w:rPr>
        <w:t>with</w:t>
      </w:r>
      <w:r>
        <w:rPr>
          <w:rFonts w:ascii="Arial" w:hAnsi="Arial"/>
          <w:spacing w:val="-10"/>
          <w:sz w:val="22"/>
        </w:rPr>
        <w:t> </w:t>
      </w:r>
      <w:r>
        <w:rPr>
          <w:rFonts w:ascii="Arial" w:hAnsi="Arial"/>
          <w:sz w:val="22"/>
        </w:rPr>
        <w:t>the</w:t>
      </w:r>
      <w:r>
        <w:rPr>
          <w:rFonts w:ascii="Arial" w:hAnsi="Arial"/>
          <w:spacing w:val="-7"/>
          <w:sz w:val="22"/>
        </w:rPr>
        <w:t> </w:t>
      </w:r>
      <w:r>
        <w:rPr>
          <w:rFonts w:ascii="Arial" w:hAnsi="Arial"/>
          <w:sz w:val="22"/>
        </w:rPr>
        <w:t>appeal</w:t>
      </w:r>
      <w:r>
        <w:rPr>
          <w:rFonts w:ascii="Arial" w:hAnsi="Arial"/>
          <w:spacing w:val="-8"/>
          <w:sz w:val="22"/>
        </w:rPr>
        <w:t> </w:t>
      </w:r>
      <w:r>
        <w:rPr>
          <w:rFonts w:ascii="Arial" w:hAnsi="Arial"/>
          <w:sz w:val="22"/>
        </w:rPr>
        <w:t>of</w:t>
      </w:r>
      <w:r>
        <w:rPr>
          <w:rFonts w:ascii="Arial" w:hAnsi="Arial"/>
          <w:spacing w:val="-6"/>
          <w:sz w:val="22"/>
        </w:rPr>
        <w:t> </w:t>
      </w:r>
      <w:r>
        <w:rPr>
          <w:rFonts w:ascii="Arial" w:hAnsi="Arial"/>
          <w:sz w:val="22"/>
        </w:rPr>
        <w:t>a</w:t>
      </w:r>
      <w:r>
        <w:rPr>
          <w:rFonts w:ascii="Arial" w:hAnsi="Arial"/>
          <w:spacing w:val="-10"/>
          <w:sz w:val="22"/>
        </w:rPr>
        <w:t> </w:t>
      </w:r>
      <w:r>
        <w:rPr>
          <w:rFonts w:ascii="Arial" w:hAnsi="Arial"/>
          <w:sz w:val="22"/>
        </w:rPr>
        <w:t>claim</w:t>
      </w:r>
      <w:r>
        <w:rPr>
          <w:rFonts w:ascii="Arial" w:hAnsi="Arial"/>
          <w:spacing w:val="-4"/>
          <w:sz w:val="22"/>
        </w:rPr>
        <w:t> </w:t>
      </w:r>
      <w:r>
        <w:rPr>
          <w:rFonts w:ascii="Arial" w:hAnsi="Arial"/>
          <w:sz w:val="22"/>
        </w:rPr>
        <w:t>denial.</w:t>
      </w:r>
      <w:r>
        <w:rPr>
          <w:rFonts w:ascii="Arial" w:hAnsi="Arial"/>
          <w:spacing w:val="-6"/>
          <w:sz w:val="22"/>
        </w:rPr>
        <w:t> </w:t>
      </w:r>
      <w:r>
        <w:rPr>
          <w:rFonts w:ascii="Arial" w:hAnsi="Arial"/>
          <w:sz w:val="22"/>
        </w:rPr>
        <w:t>It</w:t>
      </w:r>
      <w:r>
        <w:rPr>
          <w:rFonts w:ascii="Arial" w:hAnsi="Arial"/>
          <w:spacing w:val="-1"/>
          <w:sz w:val="22"/>
        </w:rPr>
        <w:t> </w:t>
      </w:r>
      <w:r>
        <w:rPr>
          <w:rFonts w:ascii="Arial" w:hAnsi="Arial"/>
          <w:sz w:val="22"/>
        </w:rPr>
        <w:t>is imperative that the doctor who prescribed the test and/or used the test results to manage the patient’s care be the one appealing or be consulted in the appeals process.</w:t>
      </w:r>
    </w:p>
    <w:p>
      <w:pPr>
        <w:pStyle w:val="ListParagraph"/>
        <w:numPr>
          <w:ilvl w:val="0"/>
          <w:numId w:val="1"/>
        </w:numPr>
        <w:tabs>
          <w:tab w:pos="432" w:val="left" w:leader="none"/>
          <w:tab w:pos="677" w:val="left" w:leader="none"/>
        </w:tabs>
        <w:spacing w:line="259" w:lineRule="auto" w:before="137" w:after="0"/>
        <w:ind w:left="432" w:right="555" w:hanging="1"/>
        <w:jc w:val="left"/>
        <w:rPr>
          <w:rFonts w:ascii="Arial" w:hAnsi="Arial"/>
          <w:sz w:val="22"/>
        </w:rPr>
      </w:pPr>
      <w:r>
        <w:rPr>
          <w:rFonts w:ascii="Arial" w:hAnsi="Arial"/>
          <w:sz w:val="22"/>
        </w:rPr>
        <w:t>After</w:t>
      </w:r>
      <w:r>
        <w:rPr>
          <w:rFonts w:ascii="Arial" w:hAnsi="Arial"/>
          <w:spacing w:val="-5"/>
          <w:sz w:val="22"/>
        </w:rPr>
        <w:t> </w:t>
      </w:r>
      <w:r>
        <w:rPr>
          <w:rFonts w:ascii="Arial" w:hAnsi="Arial"/>
          <w:sz w:val="22"/>
        </w:rPr>
        <w:t>you</w:t>
      </w:r>
      <w:r>
        <w:rPr>
          <w:rFonts w:ascii="Arial" w:hAnsi="Arial"/>
          <w:spacing w:val="-9"/>
          <w:sz w:val="22"/>
        </w:rPr>
        <w:t> </w:t>
      </w:r>
      <w:r>
        <w:rPr>
          <w:rFonts w:ascii="Arial" w:hAnsi="Arial"/>
          <w:sz w:val="22"/>
        </w:rPr>
        <w:t>have</w:t>
      </w:r>
      <w:r>
        <w:rPr>
          <w:rFonts w:ascii="Arial" w:hAnsi="Arial"/>
          <w:spacing w:val="-6"/>
          <w:sz w:val="22"/>
        </w:rPr>
        <w:t> </w:t>
      </w:r>
      <w:r>
        <w:rPr>
          <w:rFonts w:ascii="Arial" w:hAnsi="Arial"/>
          <w:sz w:val="22"/>
        </w:rPr>
        <w:t>customized</w:t>
      </w:r>
      <w:r>
        <w:rPr>
          <w:rFonts w:ascii="Arial" w:hAnsi="Arial"/>
          <w:spacing w:val="-4"/>
          <w:sz w:val="22"/>
        </w:rPr>
        <w:t> </w:t>
      </w:r>
      <w:r>
        <w:rPr>
          <w:rFonts w:ascii="Arial" w:hAnsi="Arial"/>
          <w:sz w:val="22"/>
        </w:rPr>
        <w:t>the</w:t>
      </w:r>
      <w:r>
        <w:rPr>
          <w:rFonts w:ascii="Arial" w:hAnsi="Arial"/>
          <w:spacing w:val="-4"/>
          <w:sz w:val="22"/>
        </w:rPr>
        <w:t> </w:t>
      </w:r>
      <w:r>
        <w:rPr>
          <w:rFonts w:ascii="Arial" w:hAnsi="Arial"/>
          <w:sz w:val="22"/>
        </w:rPr>
        <w:t>appeal</w:t>
      </w:r>
      <w:r>
        <w:rPr>
          <w:rFonts w:ascii="Arial" w:hAnsi="Arial"/>
          <w:spacing w:val="-4"/>
          <w:sz w:val="22"/>
        </w:rPr>
        <w:t> </w:t>
      </w:r>
      <w:r>
        <w:rPr>
          <w:rFonts w:ascii="Arial" w:hAnsi="Arial"/>
          <w:sz w:val="22"/>
        </w:rPr>
        <w:t>letter,</w:t>
      </w:r>
      <w:r>
        <w:rPr>
          <w:rFonts w:ascii="Arial" w:hAnsi="Arial"/>
          <w:spacing w:val="-2"/>
          <w:sz w:val="22"/>
        </w:rPr>
        <w:t> </w:t>
      </w:r>
      <w:r>
        <w:rPr>
          <w:rFonts w:ascii="Arial" w:hAnsi="Arial"/>
          <w:b/>
          <w:i/>
          <w:sz w:val="22"/>
        </w:rPr>
        <w:t>please</w:t>
      </w:r>
      <w:r>
        <w:rPr>
          <w:rFonts w:ascii="Arial" w:hAnsi="Arial"/>
          <w:b/>
          <w:i/>
          <w:spacing w:val="-4"/>
          <w:sz w:val="22"/>
        </w:rPr>
        <w:t> </w:t>
      </w:r>
      <w:r>
        <w:rPr>
          <w:rFonts w:ascii="Arial" w:hAnsi="Arial"/>
          <w:b/>
          <w:i/>
          <w:sz w:val="22"/>
        </w:rPr>
        <w:t>make</w:t>
      </w:r>
      <w:r>
        <w:rPr>
          <w:rFonts w:ascii="Arial" w:hAnsi="Arial"/>
          <w:b/>
          <w:i/>
          <w:spacing w:val="-6"/>
          <w:sz w:val="22"/>
        </w:rPr>
        <w:t> </w:t>
      </w:r>
      <w:r>
        <w:rPr>
          <w:rFonts w:ascii="Arial" w:hAnsi="Arial"/>
          <w:b/>
          <w:i/>
          <w:sz w:val="22"/>
        </w:rPr>
        <w:t>sure</w:t>
      </w:r>
      <w:r>
        <w:rPr>
          <w:rFonts w:ascii="Arial" w:hAnsi="Arial"/>
          <w:b/>
          <w:i/>
          <w:spacing w:val="-9"/>
          <w:sz w:val="22"/>
        </w:rPr>
        <w:t> </w:t>
      </w:r>
      <w:r>
        <w:rPr>
          <w:rFonts w:ascii="Arial" w:hAnsi="Arial"/>
          <w:b/>
          <w:i/>
          <w:sz w:val="22"/>
        </w:rPr>
        <w:t>to</w:t>
      </w:r>
      <w:r>
        <w:rPr>
          <w:rFonts w:ascii="Arial" w:hAnsi="Arial"/>
          <w:b/>
          <w:i/>
          <w:spacing w:val="-6"/>
          <w:sz w:val="22"/>
        </w:rPr>
        <w:t> </w:t>
      </w:r>
      <w:r>
        <w:rPr>
          <w:rFonts w:ascii="Arial" w:hAnsi="Arial"/>
          <w:b/>
          <w:i/>
          <w:sz w:val="22"/>
        </w:rPr>
        <w:t>delete</w:t>
      </w:r>
      <w:r>
        <w:rPr>
          <w:rFonts w:ascii="Arial" w:hAnsi="Arial"/>
          <w:b/>
          <w:i/>
          <w:spacing w:val="-6"/>
          <w:sz w:val="22"/>
        </w:rPr>
        <w:t> </w:t>
      </w:r>
      <w:r>
        <w:rPr>
          <w:rFonts w:ascii="Arial" w:hAnsi="Arial"/>
          <w:sz w:val="22"/>
        </w:rPr>
        <w:t>any</w:t>
      </w:r>
      <w:r>
        <w:rPr>
          <w:rFonts w:ascii="Arial" w:hAnsi="Arial"/>
          <w:spacing w:val="-6"/>
          <w:sz w:val="22"/>
        </w:rPr>
        <w:t> </w:t>
      </w:r>
      <w:r>
        <w:rPr>
          <w:rFonts w:ascii="Arial" w:hAnsi="Arial"/>
          <w:sz w:val="22"/>
        </w:rPr>
        <w:t>specific</w:t>
      </w:r>
      <w:r>
        <w:rPr>
          <w:rFonts w:ascii="Arial" w:hAnsi="Arial"/>
          <w:spacing w:val="-6"/>
          <w:sz w:val="22"/>
        </w:rPr>
        <w:t> </w:t>
      </w:r>
      <w:r>
        <w:rPr>
          <w:rFonts w:ascii="Arial" w:hAnsi="Arial"/>
          <w:sz w:val="22"/>
        </w:rPr>
        <w:t>instructions</w:t>
      </w:r>
      <w:r>
        <w:rPr>
          <w:rFonts w:ascii="Arial" w:hAnsi="Arial"/>
          <w:spacing w:val="-6"/>
          <w:sz w:val="22"/>
        </w:rPr>
        <w:t> </w:t>
      </w:r>
      <w:r>
        <w:rPr>
          <w:rFonts w:ascii="Arial" w:hAnsi="Arial"/>
          <w:sz w:val="22"/>
        </w:rPr>
        <w:t>for completion, disclaimers, bioMérieux logos, caution statement, trademarks and document number that are seen throughout the letter, so the health plan does not misinterpret the information.</w:t>
      </w:r>
    </w:p>
    <w:p>
      <w:pPr>
        <w:pStyle w:val="ListParagraph"/>
        <w:numPr>
          <w:ilvl w:val="0"/>
          <w:numId w:val="1"/>
        </w:numPr>
        <w:tabs>
          <w:tab w:pos="678" w:val="left" w:leader="none"/>
        </w:tabs>
        <w:spacing w:line="259" w:lineRule="auto" w:before="119" w:after="0"/>
        <w:ind w:left="432" w:right="709" w:firstLine="0"/>
        <w:jc w:val="left"/>
        <w:rPr>
          <w:rFonts w:ascii="Arial"/>
          <w:sz w:val="22"/>
        </w:rPr>
      </w:pPr>
      <w:r>
        <w:rPr>
          <w:rFonts w:ascii="Arial"/>
          <w:sz w:val="22"/>
        </w:rPr>
        <w:t>For independent consideration and review, please make all changes that you believe appropriate or disregard these</w:t>
      </w:r>
      <w:r>
        <w:rPr>
          <w:rFonts w:ascii="Arial"/>
          <w:spacing w:val="-7"/>
          <w:sz w:val="22"/>
        </w:rPr>
        <w:t> </w:t>
      </w:r>
      <w:r>
        <w:rPr>
          <w:rFonts w:ascii="Arial"/>
          <w:sz w:val="22"/>
        </w:rPr>
        <w:t>suggestions</w:t>
      </w:r>
      <w:r>
        <w:rPr>
          <w:rFonts w:ascii="Arial"/>
          <w:spacing w:val="-9"/>
          <w:sz w:val="22"/>
        </w:rPr>
        <w:t> </w:t>
      </w:r>
      <w:r>
        <w:rPr>
          <w:rFonts w:ascii="Arial"/>
          <w:sz w:val="22"/>
        </w:rPr>
        <w:t>in</w:t>
      </w:r>
      <w:r>
        <w:rPr>
          <w:rFonts w:ascii="Arial"/>
          <w:spacing w:val="-7"/>
          <w:sz w:val="22"/>
        </w:rPr>
        <w:t> </w:t>
      </w:r>
      <w:r>
        <w:rPr>
          <w:rFonts w:ascii="Arial"/>
          <w:sz w:val="22"/>
        </w:rPr>
        <w:t>their</w:t>
      </w:r>
      <w:r>
        <w:rPr>
          <w:rFonts w:ascii="Arial"/>
          <w:spacing w:val="-1"/>
          <w:sz w:val="22"/>
        </w:rPr>
        <w:t> </w:t>
      </w:r>
      <w:r>
        <w:rPr>
          <w:rFonts w:ascii="Arial"/>
          <w:sz w:val="22"/>
        </w:rPr>
        <w:t>entirety.</w:t>
      </w:r>
      <w:r>
        <w:rPr>
          <w:rFonts w:ascii="Arial"/>
          <w:spacing w:val="-3"/>
          <w:sz w:val="22"/>
        </w:rPr>
        <w:t> </w:t>
      </w:r>
      <w:r>
        <w:rPr>
          <w:rFonts w:ascii="Arial"/>
          <w:sz w:val="22"/>
        </w:rPr>
        <w:t>The</w:t>
      </w:r>
      <w:r>
        <w:rPr>
          <w:rFonts w:ascii="Arial"/>
          <w:spacing w:val="-9"/>
          <w:sz w:val="22"/>
        </w:rPr>
        <w:t> </w:t>
      </w:r>
      <w:r>
        <w:rPr>
          <w:rFonts w:ascii="Arial"/>
          <w:sz w:val="22"/>
        </w:rPr>
        <w:t>customer</w:t>
      </w:r>
      <w:r>
        <w:rPr>
          <w:rFonts w:ascii="Arial"/>
          <w:spacing w:val="-6"/>
          <w:sz w:val="22"/>
        </w:rPr>
        <w:t> </w:t>
      </w:r>
      <w:r>
        <w:rPr>
          <w:rFonts w:ascii="Arial"/>
          <w:sz w:val="22"/>
        </w:rPr>
        <w:t>is</w:t>
      </w:r>
      <w:r>
        <w:rPr>
          <w:rFonts w:ascii="Arial"/>
          <w:spacing w:val="-4"/>
          <w:sz w:val="22"/>
        </w:rPr>
        <w:t> </w:t>
      </w:r>
      <w:r>
        <w:rPr>
          <w:rFonts w:ascii="Arial"/>
          <w:sz w:val="22"/>
        </w:rPr>
        <w:t>ultimately</w:t>
      </w:r>
      <w:r>
        <w:rPr>
          <w:rFonts w:ascii="Arial"/>
          <w:spacing w:val="-4"/>
          <w:sz w:val="22"/>
        </w:rPr>
        <w:t> </w:t>
      </w:r>
      <w:r>
        <w:rPr>
          <w:rFonts w:ascii="Arial"/>
          <w:sz w:val="22"/>
        </w:rPr>
        <w:t>responsible</w:t>
      </w:r>
      <w:r>
        <w:rPr>
          <w:rFonts w:ascii="Arial"/>
          <w:spacing w:val="-5"/>
          <w:sz w:val="22"/>
        </w:rPr>
        <w:t> </w:t>
      </w:r>
      <w:r>
        <w:rPr>
          <w:rFonts w:ascii="Arial"/>
          <w:sz w:val="22"/>
        </w:rPr>
        <w:t>for</w:t>
      </w:r>
      <w:r>
        <w:rPr>
          <w:rFonts w:ascii="Arial"/>
          <w:spacing w:val="-6"/>
          <w:sz w:val="22"/>
        </w:rPr>
        <w:t> </w:t>
      </w:r>
      <w:r>
        <w:rPr>
          <w:rFonts w:ascii="Arial"/>
          <w:sz w:val="22"/>
        </w:rPr>
        <w:t>the</w:t>
      </w:r>
      <w:r>
        <w:rPr>
          <w:rFonts w:ascii="Arial"/>
          <w:spacing w:val="-7"/>
          <w:sz w:val="22"/>
        </w:rPr>
        <w:t> </w:t>
      </w:r>
      <w:r>
        <w:rPr>
          <w:rFonts w:ascii="Arial"/>
          <w:sz w:val="22"/>
        </w:rPr>
        <w:t>accuracy</w:t>
      </w:r>
      <w:r>
        <w:rPr>
          <w:rFonts w:ascii="Arial"/>
          <w:spacing w:val="-9"/>
          <w:sz w:val="22"/>
        </w:rPr>
        <w:t> </w:t>
      </w:r>
      <w:r>
        <w:rPr>
          <w:rFonts w:ascii="Arial"/>
          <w:sz w:val="22"/>
        </w:rPr>
        <w:t>and</w:t>
      </w:r>
      <w:r>
        <w:rPr>
          <w:rFonts w:ascii="Arial"/>
          <w:spacing w:val="-9"/>
          <w:sz w:val="22"/>
        </w:rPr>
        <w:t> </w:t>
      </w:r>
      <w:r>
        <w:rPr>
          <w:rFonts w:ascii="Arial"/>
          <w:sz w:val="22"/>
        </w:rPr>
        <w:t>completeness</w:t>
      </w:r>
      <w:r>
        <w:rPr>
          <w:rFonts w:ascii="Arial"/>
          <w:spacing w:val="-4"/>
          <w:sz w:val="22"/>
        </w:rPr>
        <w:t> </w:t>
      </w:r>
      <w:r>
        <w:rPr>
          <w:rFonts w:ascii="Arial"/>
          <w:sz w:val="22"/>
        </w:rPr>
        <w:t>of</w:t>
      </w:r>
      <w:r>
        <w:rPr>
          <w:rFonts w:ascii="Arial"/>
          <w:spacing w:val="-3"/>
          <w:sz w:val="22"/>
        </w:rPr>
        <w:t> </w:t>
      </w:r>
      <w:r>
        <w:rPr>
          <w:rFonts w:ascii="Arial"/>
          <w:sz w:val="22"/>
        </w:rPr>
        <w:t>all information submitted to third-party payers. Please see the FDA-approved label for information relevant to any prescribing decisions.</w:t>
      </w:r>
    </w:p>
    <w:p>
      <w:pPr>
        <w:pStyle w:val="BodyText"/>
        <w:spacing w:before="130"/>
        <w:ind w:left="0"/>
        <w:rPr>
          <w:rFonts w:ascii="Arial"/>
          <w:sz w:val="22"/>
        </w:rPr>
      </w:pPr>
    </w:p>
    <w:p>
      <w:pPr>
        <w:spacing w:before="0"/>
        <w:ind w:left="0" w:right="3" w:firstLine="0"/>
        <w:jc w:val="center"/>
        <w:rPr>
          <w:rFonts w:ascii="Arial"/>
          <w:b/>
          <w:sz w:val="20"/>
        </w:rPr>
      </w:pPr>
      <w:r>
        <w:rPr>
          <w:rFonts w:ascii="Arial"/>
          <w:b/>
          <w:spacing w:val="-2"/>
          <w:sz w:val="20"/>
          <w:u w:val="single"/>
        </w:rPr>
        <w:t>Disclaimer:</w:t>
      </w:r>
    </w:p>
    <w:p>
      <w:pPr>
        <w:spacing w:line="259" w:lineRule="auto" w:before="137"/>
        <w:ind w:left="432" w:right="500" w:firstLine="0"/>
        <w:jc w:val="both"/>
        <w:rPr>
          <w:rFonts w:ascii="Arial" w:hAnsi="Arial"/>
          <w:sz w:val="20"/>
        </w:rPr>
      </w:pPr>
      <w:r>
        <w:rPr>
          <w:rFonts w:ascii="Arial" w:hAnsi="Arial"/>
          <w:sz w:val="2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ragraph">
                  <wp:posOffset>2283176</wp:posOffset>
                </wp:positionV>
                <wp:extent cx="7772400" cy="5461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772400" cy="54610"/>
                          <a:chExt cx="7772400" cy="54610"/>
                        </a:xfrm>
                      </wpg:grpSpPr>
                      <wps:wsp>
                        <wps:cNvPr id="6" name="Graphic 6"/>
                        <wps:cNvSpPr/>
                        <wps:spPr>
                          <a:xfrm>
                            <a:off x="0" y="0"/>
                            <a:ext cx="7772400" cy="12700"/>
                          </a:xfrm>
                          <a:custGeom>
                            <a:avLst/>
                            <a:gdLst/>
                            <a:ahLst/>
                            <a:cxnLst/>
                            <a:rect l="l" t="t" r="r" b="b"/>
                            <a:pathLst>
                              <a:path w="7772400" h="12700">
                                <a:moveTo>
                                  <a:pt x="7772400" y="0"/>
                                </a:moveTo>
                                <a:lnTo>
                                  <a:pt x="0" y="0"/>
                                </a:lnTo>
                                <a:lnTo>
                                  <a:pt x="0" y="12699"/>
                                </a:lnTo>
                                <a:lnTo>
                                  <a:pt x="7772400" y="12699"/>
                                </a:lnTo>
                                <a:lnTo>
                                  <a:pt x="7772400" y="0"/>
                                </a:lnTo>
                                <a:close/>
                              </a:path>
                            </a:pathLst>
                          </a:custGeom>
                          <a:solidFill>
                            <a:srgbClr val="1F477B"/>
                          </a:solidFill>
                        </wps:spPr>
                        <wps:bodyPr wrap="square" lIns="0" tIns="0" rIns="0" bIns="0" rtlCol="0">
                          <a:prstTxWarp prst="textNoShape">
                            <a:avLst/>
                          </a:prstTxWarp>
                          <a:noAutofit/>
                        </wps:bodyPr>
                      </wps:wsp>
                      <wps:wsp>
                        <wps:cNvPr id="7" name="Graphic 7"/>
                        <wps:cNvSpPr/>
                        <wps:spPr>
                          <a:xfrm>
                            <a:off x="5862320" y="29209"/>
                            <a:ext cx="1325880" cy="1270"/>
                          </a:xfrm>
                          <a:custGeom>
                            <a:avLst/>
                            <a:gdLst/>
                            <a:ahLst/>
                            <a:cxnLst/>
                            <a:rect l="l" t="t" r="r" b="b"/>
                            <a:pathLst>
                              <a:path w="1325880" h="0">
                                <a:moveTo>
                                  <a:pt x="0" y="0"/>
                                </a:moveTo>
                                <a:lnTo>
                                  <a:pt x="1325880" y="0"/>
                                </a:lnTo>
                              </a:path>
                            </a:pathLst>
                          </a:custGeom>
                          <a:ln w="50800">
                            <a:solidFill>
                              <a:srgbClr val="1F477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79.777664pt;width:612pt;height:4.3pt;mso-position-horizontal-relative:page;mso-position-vertical-relative:paragraph;z-index:15729152" id="docshapegroup5" coordorigin="0,3596" coordsize="12240,86">
                <v:rect style="position:absolute;left:0;top:3595;width:12240;height:20" id="docshape6" filled="true" fillcolor="#1f477b" stroked="false">
                  <v:fill type="solid"/>
                </v:rect>
                <v:line style="position:absolute" from="9232,3642" to="11320,3642" stroked="true" strokeweight="4pt" strokecolor="#1f477b">
                  <v:stroke dashstyle="solid"/>
                </v:line>
                <w10:wrap type="none"/>
              </v:group>
            </w:pict>
          </mc:Fallback>
        </mc:AlternateContent>
      </w:r>
      <w:r>
        <w:rPr>
          <w:rFonts w:ascii="Arial" w:hAnsi="Arial"/>
          <w:sz w:val="20"/>
        </w:rPr>
        <w:t>These documents and the information contained herein is for general information purposes only and is not intended, and does not constitute, legal reimbursement, business, clinical or other advice. Furthermore, it does not constitute a representation or guarantee of reimbursement, and it is not intended to increase or maximize payment by any payer. Nothing in this document should</w:t>
      </w:r>
      <w:r>
        <w:rPr>
          <w:rFonts w:ascii="Arial" w:hAnsi="Arial"/>
          <w:spacing w:val="-13"/>
          <w:sz w:val="20"/>
        </w:rPr>
        <w:t> </w:t>
      </w:r>
      <w:r>
        <w:rPr>
          <w:rFonts w:ascii="Arial" w:hAnsi="Arial"/>
          <w:sz w:val="20"/>
        </w:rPr>
        <w:t>be</w:t>
      </w:r>
      <w:r>
        <w:rPr>
          <w:rFonts w:ascii="Arial" w:hAnsi="Arial"/>
          <w:spacing w:val="-13"/>
          <w:sz w:val="20"/>
        </w:rPr>
        <w:t> </w:t>
      </w:r>
      <w:r>
        <w:rPr>
          <w:rFonts w:ascii="Arial" w:hAnsi="Arial"/>
          <w:sz w:val="20"/>
        </w:rPr>
        <w:t>construed</w:t>
      </w:r>
      <w:r>
        <w:rPr>
          <w:rFonts w:ascii="Arial" w:hAnsi="Arial"/>
          <w:spacing w:val="-11"/>
          <w:sz w:val="20"/>
        </w:rPr>
        <w:t> </w:t>
      </w:r>
      <w:r>
        <w:rPr>
          <w:rFonts w:ascii="Arial" w:hAnsi="Arial"/>
          <w:sz w:val="20"/>
        </w:rPr>
        <w:t>as</w:t>
      </w:r>
      <w:r>
        <w:rPr>
          <w:rFonts w:ascii="Arial" w:hAnsi="Arial"/>
          <w:spacing w:val="-11"/>
          <w:sz w:val="20"/>
        </w:rPr>
        <w:t> </w:t>
      </w:r>
      <w:r>
        <w:rPr>
          <w:rFonts w:ascii="Arial" w:hAnsi="Arial"/>
          <w:sz w:val="20"/>
        </w:rPr>
        <w:t>a</w:t>
      </w:r>
      <w:r>
        <w:rPr>
          <w:rFonts w:ascii="Arial" w:hAnsi="Arial"/>
          <w:spacing w:val="-13"/>
          <w:sz w:val="20"/>
        </w:rPr>
        <w:t> </w:t>
      </w:r>
      <w:r>
        <w:rPr>
          <w:rFonts w:ascii="Arial" w:hAnsi="Arial"/>
          <w:sz w:val="20"/>
        </w:rPr>
        <w:t>guarantee</w:t>
      </w:r>
      <w:r>
        <w:rPr>
          <w:rFonts w:ascii="Arial" w:hAnsi="Arial"/>
          <w:spacing w:val="-13"/>
          <w:sz w:val="20"/>
        </w:rPr>
        <w:t> </w:t>
      </w:r>
      <w:r>
        <w:rPr>
          <w:rFonts w:ascii="Arial" w:hAnsi="Arial"/>
          <w:sz w:val="20"/>
        </w:rPr>
        <w:t>by</w:t>
      </w:r>
      <w:r>
        <w:rPr>
          <w:rFonts w:ascii="Arial" w:hAnsi="Arial"/>
          <w:spacing w:val="-11"/>
          <w:sz w:val="20"/>
        </w:rPr>
        <w:t> </w:t>
      </w:r>
      <w:r>
        <w:rPr>
          <w:rFonts w:ascii="Arial" w:hAnsi="Arial"/>
          <w:sz w:val="20"/>
        </w:rPr>
        <w:t>bioMérieux</w:t>
      </w:r>
      <w:r>
        <w:rPr>
          <w:rFonts w:ascii="Arial" w:hAnsi="Arial"/>
          <w:spacing w:val="-11"/>
          <w:sz w:val="20"/>
        </w:rPr>
        <w:t> </w:t>
      </w:r>
      <w:r>
        <w:rPr>
          <w:rFonts w:ascii="Arial" w:hAnsi="Arial"/>
          <w:sz w:val="20"/>
        </w:rPr>
        <w:t>regarding</w:t>
      </w:r>
      <w:r>
        <w:rPr>
          <w:rFonts w:ascii="Arial" w:hAnsi="Arial"/>
          <w:spacing w:val="-13"/>
          <w:sz w:val="20"/>
        </w:rPr>
        <w:t> </w:t>
      </w:r>
      <w:r>
        <w:rPr>
          <w:rFonts w:ascii="Arial" w:hAnsi="Arial"/>
          <w:sz w:val="20"/>
        </w:rPr>
        <w:t>reimbursement</w:t>
      </w:r>
      <w:r>
        <w:rPr>
          <w:rFonts w:ascii="Arial" w:hAnsi="Arial"/>
          <w:spacing w:val="-11"/>
          <w:sz w:val="20"/>
        </w:rPr>
        <w:t> </w:t>
      </w:r>
      <w:r>
        <w:rPr>
          <w:rFonts w:ascii="Arial" w:hAnsi="Arial"/>
          <w:sz w:val="20"/>
        </w:rPr>
        <w:t>or</w:t>
      </w:r>
      <w:r>
        <w:rPr>
          <w:rFonts w:ascii="Arial" w:hAnsi="Arial"/>
          <w:spacing w:val="-12"/>
          <w:sz w:val="20"/>
        </w:rPr>
        <w:t> </w:t>
      </w:r>
      <w:r>
        <w:rPr>
          <w:rFonts w:ascii="Arial" w:hAnsi="Arial"/>
          <w:sz w:val="20"/>
        </w:rPr>
        <w:t>payment</w:t>
      </w:r>
      <w:r>
        <w:rPr>
          <w:rFonts w:ascii="Arial" w:hAnsi="Arial"/>
          <w:spacing w:val="-13"/>
          <w:sz w:val="20"/>
        </w:rPr>
        <w:t> </w:t>
      </w:r>
      <w:r>
        <w:rPr>
          <w:rFonts w:ascii="Arial" w:hAnsi="Arial"/>
          <w:sz w:val="20"/>
        </w:rPr>
        <w:t>amounts,</w:t>
      </w:r>
      <w:r>
        <w:rPr>
          <w:rFonts w:ascii="Arial" w:hAnsi="Arial"/>
          <w:spacing w:val="-13"/>
          <w:sz w:val="20"/>
        </w:rPr>
        <w:t> </w:t>
      </w:r>
      <w:r>
        <w:rPr>
          <w:rFonts w:ascii="Arial" w:hAnsi="Arial"/>
          <w:sz w:val="20"/>
        </w:rPr>
        <w:t>or</w:t>
      </w:r>
      <w:r>
        <w:rPr>
          <w:rFonts w:ascii="Arial" w:hAnsi="Arial"/>
          <w:spacing w:val="-12"/>
          <w:sz w:val="20"/>
        </w:rPr>
        <w:t> </w:t>
      </w:r>
      <w:r>
        <w:rPr>
          <w:rFonts w:ascii="Arial" w:hAnsi="Arial"/>
          <w:sz w:val="20"/>
        </w:rPr>
        <w:t>that</w:t>
      </w:r>
      <w:r>
        <w:rPr>
          <w:rFonts w:ascii="Arial" w:hAnsi="Arial"/>
          <w:spacing w:val="-13"/>
          <w:sz w:val="20"/>
        </w:rPr>
        <w:t> </w:t>
      </w:r>
      <w:r>
        <w:rPr>
          <w:rFonts w:ascii="Arial" w:hAnsi="Arial"/>
          <w:sz w:val="20"/>
        </w:rPr>
        <w:t>reimbursement</w:t>
      </w:r>
      <w:r>
        <w:rPr>
          <w:rFonts w:ascii="Arial" w:hAnsi="Arial"/>
          <w:spacing w:val="-13"/>
          <w:sz w:val="20"/>
        </w:rPr>
        <w:t> </w:t>
      </w:r>
      <w:r>
        <w:rPr>
          <w:rFonts w:ascii="Arial" w:hAnsi="Arial"/>
          <w:sz w:val="20"/>
        </w:rPr>
        <w:t>or</w:t>
      </w:r>
      <w:r>
        <w:rPr>
          <w:rFonts w:ascii="Arial" w:hAnsi="Arial"/>
          <w:spacing w:val="-12"/>
          <w:sz w:val="20"/>
        </w:rPr>
        <w:t> </w:t>
      </w:r>
      <w:r>
        <w:rPr>
          <w:rFonts w:ascii="Arial" w:hAnsi="Arial"/>
          <w:sz w:val="20"/>
        </w:rPr>
        <w:t>other payment</w:t>
      </w:r>
      <w:r>
        <w:rPr>
          <w:rFonts w:ascii="Arial" w:hAnsi="Arial"/>
          <w:spacing w:val="-4"/>
          <w:sz w:val="20"/>
        </w:rPr>
        <w:t> </w:t>
      </w:r>
      <w:r>
        <w:rPr>
          <w:rFonts w:ascii="Arial" w:hAnsi="Arial"/>
          <w:sz w:val="20"/>
        </w:rPr>
        <w:t>will</w:t>
      </w:r>
      <w:r>
        <w:rPr>
          <w:rFonts w:ascii="Arial" w:hAnsi="Arial"/>
          <w:spacing w:val="-5"/>
          <w:sz w:val="20"/>
        </w:rPr>
        <w:t> </w:t>
      </w:r>
      <w:r>
        <w:rPr>
          <w:rFonts w:ascii="Arial" w:hAnsi="Arial"/>
          <w:sz w:val="20"/>
        </w:rPr>
        <w:t>be</w:t>
      </w:r>
      <w:r>
        <w:rPr>
          <w:rFonts w:ascii="Arial" w:hAnsi="Arial"/>
          <w:spacing w:val="-4"/>
          <w:sz w:val="20"/>
        </w:rPr>
        <w:t> </w:t>
      </w:r>
      <w:r>
        <w:rPr>
          <w:rFonts w:ascii="Arial" w:hAnsi="Arial"/>
          <w:sz w:val="20"/>
        </w:rPr>
        <w:t>received.</w:t>
      </w:r>
      <w:r>
        <w:rPr>
          <w:rFonts w:ascii="Arial" w:hAnsi="Arial"/>
          <w:spacing w:val="-4"/>
          <w:sz w:val="20"/>
        </w:rPr>
        <w:t> </w:t>
      </w:r>
      <w:r>
        <w:rPr>
          <w:rFonts w:ascii="Arial" w:hAnsi="Arial"/>
          <w:sz w:val="20"/>
        </w:rPr>
        <w:t>bioMérieux</w:t>
      </w:r>
      <w:r>
        <w:rPr>
          <w:rFonts w:ascii="Arial" w:hAnsi="Arial"/>
          <w:spacing w:val="-3"/>
          <w:sz w:val="20"/>
        </w:rPr>
        <w:t> </w:t>
      </w:r>
      <w:r>
        <w:rPr>
          <w:rFonts w:ascii="Arial" w:hAnsi="Arial"/>
          <w:sz w:val="20"/>
        </w:rPr>
        <w:t>specifically</w:t>
      </w:r>
      <w:r>
        <w:rPr>
          <w:rFonts w:ascii="Arial" w:hAnsi="Arial"/>
          <w:spacing w:val="-3"/>
          <w:sz w:val="20"/>
        </w:rPr>
        <w:t> </w:t>
      </w:r>
      <w:r>
        <w:rPr>
          <w:rFonts w:ascii="Arial" w:hAnsi="Arial"/>
          <w:sz w:val="20"/>
        </w:rPr>
        <w:t>disclaims</w:t>
      </w:r>
      <w:r>
        <w:rPr>
          <w:rFonts w:ascii="Arial" w:hAnsi="Arial"/>
          <w:spacing w:val="-3"/>
          <w:sz w:val="20"/>
        </w:rPr>
        <w:t> </w:t>
      </w:r>
      <w:r>
        <w:rPr>
          <w:rFonts w:ascii="Arial" w:hAnsi="Arial"/>
          <w:sz w:val="20"/>
        </w:rPr>
        <w:t>liability</w:t>
      </w:r>
      <w:r>
        <w:rPr>
          <w:rFonts w:ascii="Arial" w:hAnsi="Arial"/>
          <w:spacing w:val="-3"/>
          <w:sz w:val="20"/>
        </w:rPr>
        <w:t> </w:t>
      </w:r>
      <w:r>
        <w:rPr>
          <w:rFonts w:ascii="Arial" w:hAnsi="Arial"/>
          <w:sz w:val="20"/>
        </w:rPr>
        <w:t>or</w:t>
      </w:r>
      <w:r>
        <w:rPr>
          <w:rFonts w:ascii="Arial" w:hAnsi="Arial"/>
          <w:spacing w:val="-3"/>
          <w:sz w:val="20"/>
        </w:rPr>
        <w:t> </w:t>
      </w:r>
      <w:r>
        <w:rPr>
          <w:rFonts w:ascii="Arial" w:hAnsi="Arial"/>
          <w:sz w:val="20"/>
        </w:rPr>
        <w:t>responsibility</w:t>
      </w:r>
      <w:r>
        <w:rPr>
          <w:rFonts w:ascii="Arial" w:hAnsi="Arial"/>
          <w:spacing w:val="-3"/>
          <w:sz w:val="20"/>
        </w:rPr>
        <w:t> </w:t>
      </w:r>
      <w:r>
        <w:rPr>
          <w:rFonts w:ascii="Arial" w:hAnsi="Arial"/>
          <w:sz w:val="20"/>
        </w:rPr>
        <w:t>and</w:t>
      </w:r>
      <w:r>
        <w:rPr>
          <w:rFonts w:ascii="Arial" w:hAnsi="Arial"/>
          <w:spacing w:val="-4"/>
          <w:sz w:val="20"/>
        </w:rPr>
        <w:t> </w:t>
      </w:r>
      <w:r>
        <w:rPr>
          <w:rFonts w:ascii="Arial" w:hAnsi="Arial"/>
          <w:sz w:val="20"/>
        </w:rPr>
        <w:t>offers</w:t>
      </w:r>
      <w:r>
        <w:rPr>
          <w:rFonts w:ascii="Arial" w:hAnsi="Arial"/>
          <w:spacing w:val="-3"/>
          <w:sz w:val="20"/>
        </w:rPr>
        <w:t> </w:t>
      </w:r>
      <w:r>
        <w:rPr>
          <w:rFonts w:ascii="Arial" w:hAnsi="Arial"/>
          <w:sz w:val="20"/>
        </w:rPr>
        <w:t>no</w:t>
      </w:r>
      <w:r>
        <w:rPr>
          <w:rFonts w:ascii="Arial" w:hAnsi="Arial"/>
          <w:spacing w:val="-4"/>
          <w:sz w:val="20"/>
        </w:rPr>
        <w:t> </w:t>
      </w:r>
      <w:r>
        <w:rPr>
          <w:rFonts w:ascii="Arial" w:hAnsi="Arial"/>
          <w:sz w:val="20"/>
        </w:rPr>
        <w:t>guarantee</w:t>
      </w:r>
      <w:r>
        <w:rPr>
          <w:rFonts w:ascii="Arial" w:hAnsi="Arial"/>
          <w:spacing w:val="-4"/>
          <w:sz w:val="20"/>
        </w:rPr>
        <w:t> </w:t>
      </w:r>
      <w:r>
        <w:rPr>
          <w:rFonts w:ascii="Arial" w:hAnsi="Arial"/>
          <w:sz w:val="20"/>
        </w:rPr>
        <w:t>of</w:t>
      </w:r>
      <w:r>
        <w:rPr>
          <w:rFonts w:ascii="Arial" w:hAnsi="Arial"/>
          <w:spacing w:val="-2"/>
          <w:sz w:val="20"/>
        </w:rPr>
        <w:t> </w:t>
      </w:r>
      <w:r>
        <w:rPr>
          <w:rFonts w:ascii="Arial" w:hAnsi="Arial"/>
          <w:sz w:val="20"/>
        </w:rPr>
        <w:t>coverage,</w:t>
      </w:r>
      <w:r>
        <w:rPr>
          <w:rFonts w:ascii="Arial" w:hAnsi="Arial"/>
          <w:spacing w:val="-4"/>
          <w:sz w:val="20"/>
        </w:rPr>
        <w:t> </w:t>
      </w:r>
      <w:r>
        <w:rPr>
          <w:rFonts w:ascii="Arial" w:hAnsi="Arial"/>
          <w:sz w:val="20"/>
        </w:rPr>
        <w:t>coding, or</w:t>
      </w:r>
      <w:r>
        <w:rPr>
          <w:rFonts w:ascii="Arial" w:hAnsi="Arial"/>
          <w:spacing w:val="-8"/>
          <w:sz w:val="20"/>
        </w:rPr>
        <w:t> </w:t>
      </w:r>
      <w:r>
        <w:rPr>
          <w:rFonts w:ascii="Arial" w:hAnsi="Arial"/>
          <w:sz w:val="20"/>
        </w:rPr>
        <w:t>payment</w:t>
      </w:r>
      <w:r>
        <w:rPr>
          <w:rFonts w:ascii="Arial" w:hAnsi="Arial"/>
          <w:spacing w:val="-9"/>
          <w:sz w:val="20"/>
        </w:rPr>
        <w:t> </w:t>
      </w:r>
      <w:r>
        <w:rPr>
          <w:rFonts w:ascii="Arial" w:hAnsi="Arial"/>
          <w:sz w:val="20"/>
        </w:rPr>
        <w:t>and</w:t>
      </w:r>
      <w:r>
        <w:rPr>
          <w:rFonts w:ascii="Arial" w:hAnsi="Arial"/>
          <w:spacing w:val="-9"/>
          <w:sz w:val="20"/>
        </w:rPr>
        <w:t> </w:t>
      </w:r>
      <w:r>
        <w:rPr>
          <w:rFonts w:ascii="Arial" w:hAnsi="Arial"/>
          <w:sz w:val="20"/>
        </w:rPr>
        <w:t>specifically</w:t>
      </w:r>
      <w:r>
        <w:rPr>
          <w:rFonts w:ascii="Arial" w:hAnsi="Arial"/>
          <w:spacing w:val="-5"/>
          <w:sz w:val="20"/>
        </w:rPr>
        <w:t> </w:t>
      </w:r>
      <w:r>
        <w:rPr>
          <w:rFonts w:ascii="Arial" w:hAnsi="Arial"/>
          <w:sz w:val="20"/>
        </w:rPr>
        <w:t>disclaims</w:t>
      </w:r>
      <w:r>
        <w:rPr>
          <w:rFonts w:ascii="Arial" w:hAnsi="Arial"/>
          <w:spacing w:val="-8"/>
          <w:sz w:val="20"/>
        </w:rPr>
        <w:t> </w:t>
      </w:r>
      <w:r>
        <w:rPr>
          <w:rFonts w:ascii="Arial" w:hAnsi="Arial"/>
          <w:sz w:val="20"/>
        </w:rPr>
        <w:t>liability</w:t>
      </w:r>
      <w:r>
        <w:rPr>
          <w:rFonts w:ascii="Arial" w:hAnsi="Arial"/>
          <w:spacing w:val="-3"/>
          <w:sz w:val="20"/>
        </w:rPr>
        <w:t> </w:t>
      </w:r>
      <w:r>
        <w:rPr>
          <w:rFonts w:ascii="Arial" w:hAnsi="Arial"/>
          <w:sz w:val="20"/>
        </w:rPr>
        <w:t>or</w:t>
      </w:r>
      <w:r>
        <w:rPr>
          <w:rFonts w:ascii="Arial" w:hAnsi="Arial"/>
          <w:spacing w:val="-8"/>
          <w:sz w:val="20"/>
        </w:rPr>
        <w:t> </w:t>
      </w:r>
      <w:r>
        <w:rPr>
          <w:rFonts w:ascii="Arial" w:hAnsi="Arial"/>
          <w:sz w:val="20"/>
        </w:rPr>
        <w:t>responsibility</w:t>
      </w:r>
      <w:r>
        <w:rPr>
          <w:rFonts w:ascii="Arial" w:hAnsi="Arial"/>
          <w:spacing w:val="-8"/>
          <w:sz w:val="20"/>
        </w:rPr>
        <w:t> </w:t>
      </w:r>
      <w:r>
        <w:rPr>
          <w:rFonts w:ascii="Arial" w:hAnsi="Arial"/>
          <w:sz w:val="20"/>
        </w:rPr>
        <w:t>for</w:t>
      </w:r>
      <w:r>
        <w:rPr>
          <w:rFonts w:ascii="Arial" w:hAnsi="Arial"/>
          <w:spacing w:val="-8"/>
          <w:sz w:val="20"/>
        </w:rPr>
        <w:t> </w:t>
      </w:r>
      <w:r>
        <w:rPr>
          <w:rFonts w:ascii="Arial" w:hAnsi="Arial"/>
          <w:sz w:val="20"/>
        </w:rPr>
        <w:t>coding</w:t>
      </w:r>
      <w:r>
        <w:rPr>
          <w:rFonts w:ascii="Arial" w:hAnsi="Arial"/>
          <w:spacing w:val="-7"/>
          <w:sz w:val="20"/>
        </w:rPr>
        <w:t> </w:t>
      </w:r>
      <w:r>
        <w:rPr>
          <w:rFonts w:ascii="Arial" w:hAnsi="Arial"/>
          <w:sz w:val="20"/>
        </w:rPr>
        <w:t>practices</w:t>
      </w:r>
      <w:r>
        <w:rPr>
          <w:rFonts w:ascii="Arial" w:hAnsi="Arial"/>
          <w:spacing w:val="-5"/>
          <w:sz w:val="20"/>
        </w:rPr>
        <w:t> </w:t>
      </w:r>
      <w:r>
        <w:rPr>
          <w:rFonts w:ascii="Arial" w:hAnsi="Arial"/>
          <w:sz w:val="20"/>
        </w:rPr>
        <w:t>of</w:t>
      </w:r>
      <w:r>
        <w:rPr>
          <w:rFonts w:ascii="Arial" w:hAnsi="Arial"/>
          <w:spacing w:val="-6"/>
          <w:sz w:val="20"/>
        </w:rPr>
        <w:t> </w:t>
      </w:r>
      <w:r>
        <w:rPr>
          <w:rFonts w:ascii="Arial" w:hAnsi="Arial"/>
          <w:sz w:val="20"/>
        </w:rPr>
        <w:t>healthcare</w:t>
      </w:r>
      <w:r>
        <w:rPr>
          <w:rFonts w:ascii="Arial" w:hAnsi="Arial"/>
          <w:spacing w:val="-6"/>
          <w:sz w:val="20"/>
        </w:rPr>
        <w:t> </w:t>
      </w:r>
      <w:r>
        <w:rPr>
          <w:rFonts w:ascii="Arial" w:hAnsi="Arial"/>
          <w:sz w:val="20"/>
        </w:rPr>
        <w:t>providers.</w:t>
      </w:r>
      <w:r>
        <w:rPr>
          <w:rFonts w:ascii="Arial" w:hAnsi="Arial"/>
          <w:spacing w:val="-9"/>
          <w:sz w:val="20"/>
        </w:rPr>
        <w:t> </w:t>
      </w:r>
      <w:r>
        <w:rPr>
          <w:rFonts w:ascii="Arial" w:hAnsi="Arial"/>
          <w:sz w:val="20"/>
        </w:rPr>
        <w:t>The</w:t>
      </w:r>
      <w:r>
        <w:rPr>
          <w:rFonts w:ascii="Arial" w:hAnsi="Arial"/>
          <w:spacing w:val="-10"/>
          <w:sz w:val="20"/>
        </w:rPr>
        <w:t> </w:t>
      </w:r>
      <w:r>
        <w:rPr>
          <w:rFonts w:ascii="Arial" w:hAnsi="Arial"/>
          <w:sz w:val="20"/>
        </w:rPr>
        <w:t>customer</w:t>
      </w:r>
      <w:r>
        <w:rPr>
          <w:rFonts w:ascii="Arial" w:hAnsi="Arial"/>
          <w:spacing w:val="-3"/>
          <w:sz w:val="20"/>
        </w:rPr>
        <w:t> </w:t>
      </w:r>
      <w:r>
        <w:rPr>
          <w:rFonts w:ascii="Arial" w:hAnsi="Arial"/>
          <w:sz w:val="20"/>
        </w:rPr>
        <w:t>is</w:t>
      </w:r>
      <w:r>
        <w:rPr>
          <w:rFonts w:ascii="Arial" w:hAnsi="Arial"/>
          <w:spacing w:val="-5"/>
          <w:sz w:val="20"/>
        </w:rPr>
        <w:t> </w:t>
      </w:r>
      <w:r>
        <w:rPr>
          <w:rFonts w:ascii="Arial" w:hAnsi="Arial"/>
          <w:sz w:val="20"/>
        </w:rPr>
        <w:t>solely responsible for determining appropriate charging and billing practices, as well as accurate coding, documentation, and medical necessity</w:t>
      </w:r>
      <w:r>
        <w:rPr>
          <w:rFonts w:ascii="Arial" w:hAnsi="Arial"/>
          <w:spacing w:val="-7"/>
          <w:sz w:val="20"/>
        </w:rPr>
        <w:t> </w:t>
      </w:r>
      <w:r>
        <w:rPr>
          <w:rFonts w:ascii="Arial" w:hAnsi="Arial"/>
          <w:sz w:val="20"/>
        </w:rPr>
        <w:t>for</w:t>
      </w:r>
      <w:r>
        <w:rPr>
          <w:rFonts w:ascii="Arial" w:hAnsi="Arial"/>
          <w:spacing w:val="-5"/>
          <w:sz w:val="20"/>
        </w:rPr>
        <w:t> </w:t>
      </w:r>
      <w:r>
        <w:rPr>
          <w:rFonts w:ascii="Arial" w:hAnsi="Arial"/>
          <w:sz w:val="20"/>
        </w:rPr>
        <w:t>the</w:t>
      </w:r>
      <w:r>
        <w:rPr>
          <w:rFonts w:ascii="Arial" w:hAnsi="Arial"/>
          <w:spacing w:val="-9"/>
          <w:sz w:val="20"/>
        </w:rPr>
        <w:t> </w:t>
      </w:r>
      <w:r>
        <w:rPr>
          <w:rFonts w:ascii="Arial" w:hAnsi="Arial"/>
          <w:sz w:val="20"/>
        </w:rPr>
        <w:t>services</w:t>
      </w:r>
      <w:r>
        <w:rPr>
          <w:rFonts w:ascii="Arial" w:hAnsi="Arial"/>
          <w:spacing w:val="-5"/>
          <w:sz w:val="20"/>
        </w:rPr>
        <w:t> </w:t>
      </w:r>
      <w:r>
        <w:rPr>
          <w:rFonts w:ascii="Arial" w:hAnsi="Arial"/>
          <w:sz w:val="20"/>
        </w:rPr>
        <w:t>provided.</w:t>
      </w:r>
      <w:r>
        <w:rPr>
          <w:rFonts w:ascii="Arial" w:hAnsi="Arial"/>
          <w:spacing w:val="-6"/>
          <w:sz w:val="20"/>
        </w:rPr>
        <w:t> </w:t>
      </w:r>
      <w:r>
        <w:rPr>
          <w:rFonts w:ascii="Arial" w:hAnsi="Arial"/>
          <w:sz w:val="20"/>
        </w:rPr>
        <w:t>This</w:t>
      </w:r>
      <w:r>
        <w:rPr>
          <w:rFonts w:ascii="Arial" w:hAnsi="Arial"/>
          <w:spacing w:val="-5"/>
          <w:sz w:val="20"/>
        </w:rPr>
        <w:t> </w:t>
      </w:r>
      <w:r>
        <w:rPr>
          <w:rFonts w:ascii="Arial" w:hAnsi="Arial"/>
          <w:sz w:val="20"/>
        </w:rPr>
        <w:t>includes</w:t>
      </w:r>
      <w:r>
        <w:rPr>
          <w:rFonts w:ascii="Arial" w:hAnsi="Arial"/>
          <w:spacing w:val="-7"/>
          <w:sz w:val="20"/>
        </w:rPr>
        <w:t> </w:t>
      </w:r>
      <w:r>
        <w:rPr>
          <w:rFonts w:ascii="Arial" w:hAnsi="Arial"/>
          <w:sz w:val="20"/>
        </w:rPr>
        <w:t>the</w:t>
      </w:r>
      <w:r>
        <w:rPr>
          <w:rFonts w:ascii="Arial" w:hAnsi="Arial"/>
          <w:spacing w:val="-7"/>
          <w:sz w:val="20"/>
        </w:rPr>
        <w:t> </w:t>
      </w:r>
      <w:r>
        <w:rPr>
          <w:rFonts w:ascii="Arial" w:hAnsi="Arial"/>
          <w:sz w:val="20"/>
        </w:rPr>
        <w:t>responsibility</w:t>
      </w:r>
      <w:r>
        <w:rPr>
          <w:rFonts w:ascii="Arial" w:hAnsi="Arial"/>
          <w:spacing w:val="-5"/>
          <w:sz w:val="20"/>
        </w:rPr>
        <w:t> </w:t>
      </w:r>
      <w:r>
        <w:rPr>
          <w:rFonts w:ascii="Arial" w:hAnsi="Arial"/>
          <w:sz w:val="20"/>
        </w:rPr>
        <w:t>for</w:t>
      </w:r>
      <w:r>
        <w:rPr>
          <w:rFonts w:ascii="Arial" w:hAnsi="Arial"/>
          <w:spacing w:val="-5"/>
          <w:sz w:val="20"/>
        </w:rPr>
        <w:t> </w:t>
      </w:r>
      <w:r>
        <w:rPr>
          <w:rFonts w:ascii="Arial" w:hAnsi="Arial"/>
          <w:sz w:val="20"/>
        </w:rPr>
        <w:t>accuracy</w:t>
      </w:r>
      <w:r>
        <w:rPr>
          <w:rFonts w:ascii="Arial" w:hAnsi="Arial"/>
          <w:spacing w:val="-7"/>
          <w:sz w:val="20"/>
        </w:rPr>
        <w:t> </w:t>
      </w:r>
      <w:r>
        <w:rPr>
          <w:rFonts w:ascii="Arial" w:hAnsi="Arial"/>
          <w:sz w:val="20"/>
        </w:rPr>
        <w:t>and</w:t>
      </w:r>
      <w:r>
        <w:rPr>
          <w:rFonts w:ascii="Arial" w:hAnsi="Arial"/>
          <w:spacing w:val="-9"/>
          <w:sz w:val="20"/>
        </w:rPr>
        <w:t> </w:t>
      </w:r>
      <w:r>
        <w:rPr>
          <w:rFonts w:ascii="Arial" w:hAnsi="Arial"/>
          <w:sz w:val="20"/>
        </w:rPr>
        <w:t>veracity</w:t>
      </w:r>
      <w:r>
        <w:rPr>
          <w:rFonts w:ascii="Arial" w:hAnsi="Arial"/>
          <w:spacing w:val="-7"/>
          <w:sz w:val="20"/>
        </w:rPr>
        <w:t> </w:t>
      </w:r>
      <w:r>
        <w:rPr>
          <w:rFonts w:ascii="Arial" w:hAnsi="Arial"/>
          <w:sz w:val="20"/>
        </w:rPr>
        <w:t>of</w:t>
      </w:r>
      <w:r>
        <w:rPr>
          <w:rFonts w:ascii="Arial" w:hAnsi="Arial"/>
          <w:spacing w:val="-6"/>
          <w:sz w:val="20"/>
        </w:rPr>
        <w:t> </w:t>
      </w:r>
      <w:r>
        <w:rPr>
          <w:rFonts w:ascii="Arial" w:hAnsi="Arial"/>
          <w:sz w:val="20"/>
        </w:rPr>
        <w:t>all</w:t>
      </w:r>
      <w:r>
        <w:rPr>
          <w:rFonts w:ascii="Arial" w:hAnsi="Arial"/>
          <w:spacing w:val="-7"/>
          <w:sz w:val="20"/>
        </w:rPr>
        <w:t> </w:t>
      </w:r>
      <w:r>
        <w:rPr>
          <w:rFonts w:ascii="Arial" w:hAnsi="Arial"/>
          <w:sz w:val="20"/>
        </w:rPr>
        <w:t>claims</w:t>
      </w:r>
      <w:r>
        <w:rPr>
          <w:rFonts w:ascii="Arial" w:hAnsi="Arial"/>
          <w:spacing w:val="-5"/>
          <w:sz w:val="20"/>
        </w:rPr>
        <w:t> </w:t>
      </w:r>
      <w:r>
        <w:rPr>
          <w:rFonts w:ascii="Arial" w:hAnsi="Arial"/>
          <w:sz w:val="20"/>
        </w:rPr>
        <w:t>submitted</w:t>
      </w:r>
      <w:r>
        <w:rPr>
          <w:rFonts w:ascii="Arial" w:hAnsi="Arial"/>
          <w:spacing w:val="-7"/>
          <w:sz w:val="20"/>
        </w:rPr>
        <w:t> </w:t>
      </w:r>
      <w:r>
        <w:rPr>
          <w:rFonts w:ascii="Arial" w:hAnsi="Arial"/>
          <w:sz w:val="20"/>
        </w:rPr>
        <w:t>to</w:t>
      </w:r>
      <w:r>
        <w:rPr>
          <w:rFonts w:ascii="Arial" w:hAnsi="Arial"/>
          <w:spacing w:val="-7"/>
          <w:sz w:val="20"/>
        </w:rPr>
        <w:t> </w:t>
      </w:r>
      <w:r>
        <w:rPr>
          <w:rFonts w:ascii="Arial" w:hAnsi="Arial"/>
          <w:sz w:val="20"/>
        </w:rPr>
        <w:t>third-party payers. In addition, the customer should note that laws, regulations, and coverage policies are complex and are updated frequently, and, therefore, the</w:t>
      </w:r>
      <w:r>
        <w:rPr>
          <w:rFonts w:ascii="Arial" w:hAnsi="Arial"/>
          <w:spacing w:val="-1"/>
          <w:sz w:val="20"/>
        </w:rPr>
        <w:t> </w:t>
      </w:r>
      <w:r>
        <w:rPr>
          <w:rFonts w:ascii="Arial" w:hAnsi="Arial"/>
          <w:sz w:val="20"/>
        </w:rPr>
        <w:t>customer should check with its local carriers or intermediaries often and</w:t>
      </w:r>
      <w:r>
        <w:rPr>
          <w:rFonts w:ascii="Arial" w:hAnsi="Arial"/>
          <w:spacing w:val="-1"/>
          <w:sz w:val="20"/>
        </w:rPr>
        <w:t> </w:t>
      </w:r>
      <w:r>
        <w:rPr>
          <w:rFonts w:ascii="Arial" w:hAnsi="Arial"/>
          <w:sz w:val="20"/>
        </w:rPr>
        <w:t>should</w:t>
      </w:r>
      <w:r>
        <w:rPr>
          <w:rFonts w:ascii="Arial" w:hAnsi="Arial"/>
          <w:spacing w:val="-1"/>
          <w:sz w:val="20"/>
        </w:rPr>
        <w:t> </w:t>
      </w:r>
      <w:r>
        <w:rPr>
          <w:rFonts w:ascii="Arial" w:hAnsi="Arial"/>
          <w:sz w:val="20"/>
        </w:rPr>
        <w:t>consult with legal counsel or a financial or reimbursement specialist for any questions related to billing, reimbursement, or any related issue. This information does not guarantee coverage or payment at any specific level and bioMérieux does not advocate or warrant the appropriateness of the use of any particular code. It is not provided or authorized for marketing use.</w:t>
      </w:r>
    </w:p>
    <w:p>
      <w:pPr>
        <w:pStyle w:val="BodyText"/>
        <w:ind w:left="0"/>
        <w:rPr>
          <w:rFonts w:ascii="Arial"/>
          <w:sz w:val="20"/>
        </w:rPr>
      </w:pPr>
    </w:p>
    <w:p>
      <w:pPr>
        <w:pStyle w:val="BodyText"/>
        <w:spacing w:before="54"/>
        <w:ind w:left="0"/>
        <w:rPr>
          <w:rFonts w:ascii="Arial"/>
          <w:sz w:val="20"/>
        </w:rPr>
      </w:pPr>
    </w:p>
    <w:p>
      <w:pPr>
        <w:spacing w:before="1"/>
        <w:ind w:left="583" w:right="0" w:firstLine="0"/>
        <w:jc w:val="left"/>
        <w:rPr>
          <w:sz w:val="16"/>
        </w:rPr>
      </w:pPr>
      <w:r>
        <w:rPr>
          <w:sz w:val="16"/>
        </w:rPr>
        <w:drawing>
          <wp:anchor distT="0" distB="0" distL="0" distR="0" allowOverlap="1" layoutInCell="1" locked="0" behindDoc="0" simplePos="0" relativeHeight="15729664">
            <wp:simplePos x="0" y="0"/>
            <wp:positionH relativeFrom="page">
              <wp:posOffset>4588510</wp:posOffset>
            </wp:positionH>
            <wp:positionV relativeFrom="paragraph">
              <wp:posOffset>-56091</wp:posOffset>
            </wp:positionV>
            <wp:extent cx="2569298" cy="13144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2569298" cy="131444"/>
                    </a:xfrm>
                    <a:prstGeom prst="rect">
                      <a:avLst/>
                    </a:prstGeom>
                  </pic:spPr>
                </pic:pic>
              </a:graphicData>
            </a:graphic>
          </wp:anchor>
        </w:drawing>
      </w:r>
      <w:r>
        <w:rPr>
          <w:spacing w:val="-4"/>
          <w:sz w:val="16"/>
        </w:rPr>
        <w:t>BFR0002-2336-</w:t>
      </w:r>
      <w:r>
        <w:rPr>
          <w:spacing w:val="-5"/>
          <w:sz w:val="16"/>
        </w:rPr>
        <w:t>02</w:t>
      </w:r>
    </w:p>
    <w:p>
      <w:pPr>
        <w:spacing w:after="0"/>
        <w:jc w:val="left"/>
        <w:rPr>
          <w:sz w:val="16"/>
        </w:rPr>
        <w:sectPr>
          <w:type w:val="continuous"/>
          <w:pgSz w:w="12240" w:h="15840"/>
          <w:pgMar w:top="80" w:bottom="280" w:left="0" w:right="0"/>
        </w:sectPr>
      </w:pPr>
    </w:p>
    <w:p>
      <w:pPr>
        <w:pStyle w:val="BodyText"/>
        <w:spacing w:before="77"/>
        <w:ind w:left="1080"/>
      </w:pPr>
      <w:bookmarkStart w:name="Appeal Letter Template_Mini" w:id="2"/>
      <w:bookmarkEnd w:id="2"/>
      <w:r>
        <w:rPr/>
      </w:r>
      <w:r>
        <w:rPr>
          <w:color w:val="FF0000"/>
          <w:spacing w:val="-4"/>
          <w:w w:val="105"/>
        </w:rPr>
        <w:t>DATE</w:t>
      </w:r>
    </w:p>
    <w:p>
      <w:pPr>
        <w:spacing w:before="292"/>
        <w:ind w:left="1080" w:right="9163" w:firstLine="0"/>
        <w:jc w:val="left"/>
        <w:rPr>
          <w:sz w:val="24"/>
        </w:rPr>
      </w:pPr>
      <w:r>
        <w:rPr>
          <w:b/>
          <w:w w:val="105"/>
          <w:sz w:val="24"/>
        </w:rPr>
        <w:t>Attention</w:t>
      </w:r>
      <w:r>
        <w:rPr>
          <w:w w:val="105"/>
          <w:sz w:val="24"/>
        </w:rPr>
        <w:t>:</w:t>
      </w:r>
      <w:r>
        <w:rPr>
          <w:spacing w:val="-4"/>
          <w:w w:val="105"/>
          <w:sz w:val="24"/>
        </w:rPr>
        <w:t> </w:t>
      </w:r>
      <w:r>
        <w:rPr>
          <w:w w:val="105"/>
          <w:sz w:val="24"/>
        </w:rPr>
        <w:t>Appeals </w:t>
      </w:r>
      <w:r>
        <w:rPr>
          <w:color w:val="FF0000"/>
          <w:w w:val="105"/>
          <w:sz w:val="24"/>
        </w:rPr>
        <w:t>Payer</w:t>
      </w:r>
      <w:r>
        <w:rPr>
          <w:color w:val="FF0000"/>
          <w:spacing w:val="-5"/>
          <w:w w:val="105"/>
          <w:sz w:val="24"/>
        </w:rPr>
        <w:t> </w:t>
      </w:r>
      <w:r>
        <w:rPr>
          <w:color w:val="FF0000"/>
          <w:w w:val="105"/>
          <w:sz w:val="24"/>
        </w:rPr>
        <w:t>name </w:t>
      </w:r>
      <w:r>
        <w:rPr>
          <w:color w:val="FF0000"/>
          <w:spacing w:val="-2"/>
          <w:w w:val="105"/>
          <w:sz w:val="24"/>
        </w:rPr>
        <w:t>Address</w:t>
      </w:r>
    </w:p>
    <w:p>
      <w:pPr>
        <w:pStyle w:val="BodyText"/>
        <w:spacing w:line="292" w:lineRule="exact"/>
        <w:ind w:left="1080"/>
      </w:pPr>
      <w:r>
        <w:rPr>
          <w:color w:val="FF0000"/>
        </w:rPr>
        <w:t>City,</w:t>
      </w:r>
      <w:r>
        <w:rPr>
          <w:color w:val="FF0000"/>
          <w:spacing w:val="26"/>
        </w:rPr>
        <w:t> </w:t>
      </w:r>
      <w:r>
        <w:rPr>
          <w:color w:val="FF0000"/>
        </w:rPr>
        <w:t>State</w:t>
      </w:r>
      <w:r>
        <w:rPr>
          <w:color w:val="FF0000"/>
          <w:spacing w:val="27"/>
        </w:rPr>
        <w:t> </w:t>
      </w:r>
      <w:r>
        <w:rPr>
          <w:color w:val="FF0000"/>
        </w:rPr>
        <w:t>Zip</w:t>
      </w:r>
      <w:r>
        <w:rPr>
          <w:color w:val="FF0000"/>
          <w:spacing w:val="25"/>
        </w:rPr>
        <w:t> </w:t>
      </w:r>
      <w:r>
        <w:rPr>
          <w:color w:val="FF0000"/>
          <w:spacing w:val="-4"/>
        </w:rPr>
        <w:t>Code</w:t>
      </w:r>
    </w:p>
    <w:p>
      <w:pPr>
        <w:pStyle w:val="BodyText"/>
        <w:ind w:left="1080"/>
      </w:pPr>
      <w:r>
        <w:rPr>
          <w:b/>
          <w:w w:val="105"/>
        </w:rPr>
        <w:t>FAX</w:t>
      </w:r>
      <w:r>
        <w:rPr>
          <w:w w:val="105"/>
        </w:rPr>
        <w:t>:</w:t>
      </w:r>
      <w:r>
        <w:rPr>
          <w:spacing w:val="-3"/>
          <w:w w:val="105"/>
        </w:rPr>
        <w:t> </w:t>
      </w:r>
      <w:r>
        <w:rPr>
          <w:color w:val="FF0000"/>
          <w:w w:val="105"/>
        </w:rPr>
        <w:t>Insert</w:t>
      </w:r>
      <w:r>
        <w:rPr>
          <w:color w:val="FF0000"/>
          <w:spacing w:val="-4"/>
          <w:w w:val="105"/>
        </w:rPr>
        <w:t> </w:t>
      </w:r>
      <w:r>
        <w:rPr>
          <w:color w:val="FF0000"/>
          <w:w w:val="105"/>
        </w:rPr>
        <w:t>Fax</w:t>
      </w:r>
      <w:r>
        <w:rPr>
          <w:color w:val="FF0000"/>
          <w:spacing w:val="-4"/>
          <w:w w:val="105"/>
        </w:rPr>
        <w:t> </w:t>
      </w:r>
      <w:r>
        <w:rPr>
          <w:color w:val="FF0000"/>
          <w:spacing w:val="-2"/>
          <w:w w:val="105"/>
        </w:rPr>
        <w:t>Number</w:t>
      </w:r>
    </w:p>
    <w:p>
      <w:pPr>
        <w:pStyle w:val="BodyText"/>
        <w:spacing w:before="2"/>
        <w:ind w:left="0"/>
      </w:pPr>
    </w:p>
    <w:p>
      <w:pPr>
        <w:spacing w:before="0"/>
        <w:ind w:left="1080" w:right="7205" w:firstLine="0"/>
        <w:jc w:val="left"/>
        <w:rPr>
          <w:sz w:val="24"/>
        </w:rPr>
      </w:pPr>
      <w:r>
        <w:rPr>
          <w:b/>
          <w:w w:val="105"/>
          <w:sz w:val="24"/>
        </w:rPr>
        <w:t>Patient name</w:t>
      </w:r>
      <w:r>
        <w:rPr>
          <w:w w:val="105"/>
          <w:sz w:val="24"/>
        </w:rPr>
        <w:t>: </w:t>
      </w:r>
      <w:r>
        <w:rPr>
          <w:color w:val="FF0000"/>
          <w:w w:val="105"/>
          <w:sz w:val="24"/>
        </w:rPr>
        <w:t>Patient Name </w:t>
      </w:r>
      <w:r>
        <w:rPr>
          <w:b/>
          <w:w w:val="105"/>
          <w:sz w:val="24"/>
        </w:rPr>
        <w:t>Subscriber ID</w:t>
      </w:r>
      <w:r>
        <w:rPr>
          <w:w w:val="105"/>
          <w:sz w:val="24"/>
        </w:rPr>
        <w:t>: </w:t>
      </w:r>
      <w:r>
        <w:rPr>
          <w:color w:val="FF0000"/>
          <w:w w:val="105"/>
          <w:sz w:val="24"/>
        </w:rPr>
        <w:t>Insert Member ID </w:t>
      </w:r>
      <w:r>
        <w:rPr>
          <w:b/>
          <w:w w:val="105"/>
          <w:sz w:val="24"/>
        </w:rPr>
        <w:t>Group Number</w:t>
      </w:r>
      <w:r>
        <w:rPr>
          <w:w w:val="105"/>
          <w:sz w:val="24"/>
        </w:rPr>
        <w:t>: Insert</w:t>
      </w:r>
      <w:r>
        <w:rPr>
          <w:spacing w:val="-2"/>
          <w:w w:val="105"/>
          <w:sz w:val="24"/>
        </w:rPr>
        <w:t> </w:t>
      </w:r>
      <w:r>
        <w:rPr>
          <w:w w:val="105"/>
          <w:sz w:val="24"/>
        </w:rPr>
        <w:t>Group Number</w:t>
      </w:r>
    </w:p>
    <w:p>
      <w:pPr>
        <w:spacing w:line="292" w:lineRule="exact" w:before="0"/>
        <w:ind w:left="1080" w:right="0" w:firstLine="0"/>
        <w:jc w:val="left"/>
        <w:rPr>
          <w:sz w:val="24"/>
        </w:rPr>
      </w:pPr>
      <w:r>
        <w:rPr>
          <w:b/>
          <w:w w:val="105"/>
          <w:sz w:val="24"/>
        </w:rPr>
        <w:t>Claim</w:t>
      </w:r>
      <w:r>
        <w:rPr>
          <w:b/>
          <w:spacing w:val="9"/>
          <w:w w:val="105"/>
          <w:sz w:val="24"/>
        </w:rPr>
        <w:t> </w:t>
      </w:r>
      <w:r>
        <w:rPr>
          <w:b/>
          <w:w w:val="105"/>
          <w:sz w:val="24"/>
        </w:rPr>
        <w:t>or</w:t>
      </w:r>
      <w:r>
        <w:rPr>
          <w:b/>
          <w:spacing w:val="9"/>
          <w:w w:val="105"/>
          <w:sz w:val="24"/>
        </w:rPr>
        <w:t> </w:t>
      </w:r>
      <w:r>
        <w:rPr>
          <w:b/>
          <w:w w:val="105"/>
          <w:sz w:val="24"/>
        </w:rPr>
        <w:t>Reference</w:t>
      </w:r>
      <w:r>
        <w:rPr>
          <w:b/>
          <w:spacing w:val="10"/>
          <w:w w:val="105"/>
          <w:sz w:val="24"/>
        </w:rPr>
        <w:t> </w:t>
      </w:r>
      <w:r>
        <w:rPr>
          <w:b/>
          <w:w w:val="105"/>
          <w:sz w:val="24"/>
        </w:rPr>
        <w:t>#</w:t>
      </w:r>
      <w:r>
        <w:rPr>
          <w:w w:val="105"/>
          <w:sz w:val="24"/>
        </w:rPr>
        <w:t>:</w:t>
      </w:r>
      <w:r>
        <w:rPr>
          <w:spacing w:val="8"/>
          <w:w w:val="105"/>
          <w:sz w:val="24"/>
        </w:rPr>
        <w:t> </w:t>
      </w:r>
      <w:r>
        <w:rPr>
          <w:color w:val="FF0000"/>
          <w:w w:val="105"/>
          <w:sz w:val="24"/>
        </w:rPr>
        <w:t>Insert</w:t>
      </w:r>
      <w:r>
        <w:rPr>
          <w:color w:val="FF0000"/>
          <w:spacing w:val="8"/>
          <w:w w:val="105"/>
          <w:sz w:val="24"/>
        </w:rPr>
        <w:t> </w:t>
      </w:r>
      <w:r>
        <w:rPr>
          <w:color w:val="FF0000"/>
          <w:w w:val="105"/>
          <w:sz w:val="24"/>
        </w:rPr>
        <w:t>Claim</w:t>
      </w:r>
      <w:r>
        <w:rPr>
          <w:color w:val="FF0000"/>
          <w:spacing w:val="8"/>
          <w:w w:val="105"/>
          <w:sz w:val="24"/>
        </w:rPr>
        <w:t> </w:t>
      </w:r>
      <w:r>
        <w:rPr>
          <w:color w:val="FF0000"/>
          <w:w w:val="105"/>
          <w:sz w:val="24"/>
        </w:rPr>
        <w:t>/</w:t>
      </w:r>
      <w:r>
        <w:rPr>
          <w:color w:val="FF0000"/>
          <w:spacing w:val="13"/>
          <w:w w:val="105"/>
          <w:sz w:val="24"/>
        </w:rPr>
        <w:t> </w:t>
      </w:r>
      <w:r>
        <w:rPr>
          <w:color w:val="FF0000"/>
          <w:w w:val="105"/>
          <w:sz w:val="24"/>
        </w:rPr>
        <w:t>Reference</w:t>
      </w:r>
      <w:r>
        <w:rPr>
          <w:color w:val="FF0000"/>
          <w:spacing w:val="11"/>
          <w:w w:val="105"/>
          <w:sz w:val="24"/>
        </w:rPr>
        <w:t> </w:t>
      </w:r>
      <w:r>
        <w:rPr>
          <w:color w:val="FF0000"/>
          <w:spacing w:val="-2"/>
          <w:w w:val="105"/>
          <w:sz w:val="24"/>
        </w:rPr>
        <w:t>Number</w:t>
      </w:r>
    </w:p>
    <w:p>
      <w:pPr>
        <w:spacing w:before="0"/>
        <w:ind w:left="1079" w:right="0" w:firstLine="0"/>
        <w:jc w:val="left"/>
        <w:rPr>
          <w:sz w:val="24"/>
        </w:rPr>
      </w:pPr>
      <w:r>
        <w:rPr>
          <w:b/>
          <w:w w:val="105"/>
          <w:sz w:val="24"/>
        </w:rPr>
        <w:t>Date</w:t>
      </w:r>
      <w:r>
        <w:rPr>
          <w:b/>
          <w:spacing w:val="4"/>
          <w:w w:val="105"/>
          <w:sz w:val="24"/>
        </w:rPr>
        <w:t> </w:t>
      </w:r>
      <w:r>
        <w:rPr>
          <w:b/>
          <w:w w:val="105"/>
          <w:sz w:val="24"/>
        </w:rPr>
        <w:t>of</w:t>
      </w:r>
      <w:r>
        <w:rPr>
          <w:b/>
          <w:spacing w:val="4"/>
          <w:w w:val="105"/>
          <w:sz w:val="24"/>
        </w:rPr>
        <w:t> </w:t>
      </w:r>
      <w:r>
        <w:rPr>
          <w:b/>
          <w:w w:val="105"/>
          <w:sz w:val="24"/>
        </w:rPr>
        <w:t>Service</w:t>
      </w:r>
      <w:r>
        <w:rPr>
          <w:w w:val="105"/>
          <w:sz w:val="24"/>
        </w:rPr>
        <w:t>:</w:t>
      </w:r>
      <w:r>
        <w:rPr>
          <w:spacing w:val="4"/>
          <w:w w:val="105"/>
          <w:sz w:val="24"/>
        </w:rPr>
        <w:t> </w:t>
      </w:r>
      <w:r>
        <w:rPr>
          <w:color w:val="FF0000"/>
          <w:w w:val="105"/>
          <w:sz w:val="24"/>
        </w:rPr>
        <w:t>Insert</w:t>
      </w:r>
      <w:r>
        <w:rPr>
          <w:color w:val="FF0000"/>
          <w:spacing w:val="1"/>
          <w:w w:val="105"/>
          <w:sz w:val="24"/>
        </w:rPr>
        <w:t> </w:t>
      </w:r>
      <w:r>
        <w:rPr>
          <w:color w:val="FF0000"/>
          <w:w w:val="105"/>
          <w:sz w:val="24"/>
        </w:rPr>
        <w:t>Date</w:t>
      </w:r>
      <w:r>
        <w:rPr>
          <w:color w:val="FF0000"/>
          <w:spacing w:val="4"/>
          <w:w w:val="105"/>
          <w:sz w:val="24"/>
        </w:rPr>
        <w:t> </w:t>
      </w:r>
      <w:r>
        <w:rPr>
          <w:color w:val="FF0000"/>
          <w:w w:val="105"/>
          <w:sz w:val="24"/>
        </w:rPr>
        <w:t>of</w:t>
      </w:r>
      <w:r>
        <w:rPr>
          <w:color w:val="FF0000"/>
          <w:spacing w:val="3"/>
          <w:w w:val="105"/>
          <w:sz w:val="24"/>
        </w:rPr>
        <w:t> </w:t>
      </w:r>
      <w:r>
        <w:rPr>
          <w:color w:val="FF0000"/>
          <w:spacing w:val="-2"/>
          <w:w w:val="105"/>
          <w:sz w:val="24"/>
        </w:rPr>
        <w:t>Service</w:t>
      </w:r>
    </w:p>
    <w:p>
      <w:pPr>
        <w:pStyle w:val="BodyText"/>
        <w:ind w:left="1079"/>
      </w:pPr>
      <w:r>
        <w:rPr>
          <w:b/>
          <w:w w:val="105"/>
        </w:rPr>
        <w:t>CPT</w:t>
      </w:r>
      <w:r>
        <w:rPr>
          <w:b/>
          <w:spacing w:val="4"/>
          <w:w w:val="105"/>
        </w:rPr>
        <w:t> </w:t>
      </w:r>
      <w:r>
        <w:rPr>
          <w:b/>
          <w:w w:val="105"/>
        </w:rPr>
        <w:t>Code(s)</w:t>
      </w:r>
      <w:r>
        <w:rPr>
          <w:w w:val="105"/>
        </w:rPr>
        <w:t>:</w:t>
      </w:r>
      <w:r>
        <w:rPr>
          <w:spacing w:val="5"/>
          <w:w w:val="105"/>
        </w:rPr>
        <w:t> </w:t>
      </w:r>
      <w:r>
        <w:rPr>
          <w:w w:val="105"/>
        </w:rPr>
        <w:t>87631</w:t>
      </w:r>
      <w:r>
        <w:rPr>
          <w:spacing w:val="11"/>
          <w:w w:val="105"/>
        </w:rPr>
        <w:t> </w:t>
      </w:r>
      <w:r>
        <w:rPr>
          <w:w w:val="105"/>
        </w:rPr>
        <w:t>(Targeted</w:t>
      </w:r>
      <w:r>
        <w:rPr>
          <w:spacing w:val="3"/>
          <w:w w:val="105"/>
        </w:rPr>
        <w:t> </w:t>
      </w:r>
      <w:r>
        <w:rPr>
          <w:w w:val="105"/>
        </w:rPr>
        <w:t>multiplex</w:t>
      </w:r>
      <w:r>
        <w:rPr>
          <w:spacing w:val="3"/>
          <w:w w:val="105"/>
        </w:rPr>
        <w:t> </w:t>
      </w:r>
      <w:r>
        <w:rPr>
          <w:w w:val="105"/>
        </w:rPr>
        <w:t>PCR,</w:t>
      </w:r>
      <w:r>
        <w:rPr>
          <w:spacing w:val="5"/>
          <w:w w:val="105"/>
        </w:rPr>
        <w:t> </w:t>
      </w:r>
      <w:r>
        <w:rPr>
          <w:w w:val="105"/>
        </w:rPr>
        <w:t>3–5</w:t>
      </w:r>
      <w:r>
        <w:rPr>
          <w:spacing w:val="2"/>
          <w:w w:val="105"/>
        </w:rPr>
        <w:t> </w:t>
      </w:r>
      <w:r>
        <w:rPr>
          <w:spacing w:val="-2"/>
          <w:w w:val="105"/>
        </w:rPr>
        <w:t>targets)</w:t>
      </w:r>
    </w:p>
    <w:p>
      <w:pPr>
        <w:spacing w:before="0"/>
        <w:ind w:left="1079" w:right="0" w:firstLine="0"/>
        <w:jc w:val="left"/>
        <w:rPr>
          <w:sz w:val="24"/>
        </w:rPr>
      </w:pPr>
      <w:r>
        <w:rPr>
          <w:b/>
          <w:spacing w:val="2"/>
          <w:sz w:val="24"/>
        </w:rPr>
        <w:t>Denial</w:t>
      </w:r>
      <w:r>
        <w:rPr>
          <w:b/>
          <w:spacing w:val="35"/>
          <w:sz w:val="24"/>
        </w:rPr>
        <w:t> </w:t>
      </w:r>
      <w:r>
        <w:rPr>
          <w:b/>
          <w:spacing w:val="2"/>
          <w:sz w:val="24"/>
        </w:rPr>
        <w:t>Reason</w:t>
      </w:r>
      <w:r>
        <w:rPr>
          <w:spacing w:val="2"/>
          <w:sz w:val="24"/>
        </w:rPr>
        <w:t>:</w:t>
      </w:r>
      <w:r>
        <w:rPr>
          <w:spacing w:val="35"/>
          <w:sz w:val="24"/>
        </w:rPr>
        <w:t> </w:t>
      </w:r>
      <w:r>
        <w:rPr>
          <w:color w:val="FF0000"/>
          <w:spacing w:val="2"/>
          <w:sz w:val="24"/>
        </w:rPr>
        <w:t>e.g.,</w:t>
      </w:r>
      <w:r>
        <w:rPr>
          <w:color w:val="FF0000"/>
          <w:spacing w:val="35"/>
          <w:sz w:val="24"/>
        </w:rPr>
        <w:t> </w:t>
      </w:r>
      <w:r>
        <w:rPr>
          <w:color w:val="FF0000"/>
          <w:spacing w:val="2"/>
          <w:sz w:val="24"/>
        </w:rPr>
        <w:t>"Not</w:t>
      </w:r>
      <w:r>
        <w:rPr>
          <w:color w:val="FF0000"/>
          <w:spacing w:val="32"/>
          <w:sz w:val="24"/>
        </w:rPr>
        <w:t> </w:t>
      </w:r>
      <w:r>
        <w:rPr>
          <w:color w:val="FF0000"/>
          <w:spacing w:val="2"/>
          <w:sz w:val="24"/>
        </w:rPr>
        <w:t>medically</w:t>
      </w:r>
      <w:r>
        <w:rPr>
          <w:color w:val="FF0000"/>
          <w:spacing w:val="33"/>
          <w:sz w:val="24"/>
        </w:rPr>
        <w:t> </w:t>
      </w:r>
      <w:r>
        <w:rPr>
          <w:color w:val="FF0000"/>
          <w:spacing w:val="-2"/>
          <w:sz w:val="24"/>
        </w:rPr>
        <w:t>necessary"</w:t>
      </w:r>
    </w:p>
    <w:p>
      <w:pPr>
        <w:pStyle w:val="Heading3"/>
      </w:pPr>
      <w:r>
        <w:rPr>
          <w:spacing w:val="2"/>
        </w:rPr>
        <w:t>RE:</w:t>
      </w:r>
      <w:r>
        <w:rPr>
          <w:spacing w:val="39"/>
        </w:rPr>
        <w:t> </w:t>
      </w:r>
      <w:r>
        <w:rPr>
          <w:spacing w:val="2"/>
        </w:rPr>
        <w:t>Formal</w:t>
      </w:r>
      <w:r>
        <w:rPr>
          <w:spacing w:val="41"/>
        </w:rPr>
        <w:t> </w:t>
      </w:r>
      <w:r>
        <w:rPr>
          <w:spacing w:val="2"/>
        </w:rPr>
        <w:t>Appeal</w:t>
      </w:r>
      <w:r>
        <w:rPr>
          <w:spacing w:val="42"/>
        </w:rPr>
        <w:t> </w:t>
      </w:r>
      <w:r>
        <w:rPr>
          <w:spacing w:val="2"/>
        </w:rPr>
        <w:t>of</w:t>
      </w:r>
      <w:r>
        <w:rPr>
          <w:spacing w:val="41"/>
        </w:rPr>
        <w:t> </w:t>
      </w:r>
      <w:r>
        <w:rPr>
          <w:spacing w:val="2"/>
        </w:rPr>
        <w:t>Denied</w:t>
      </w:r>
      <w:r>
        <w:rPr>
          <w:spacing w:val="42"/>
        </w:rPr>
        <w:t> </w:t>
      </w:r>
      <w:r>
        <w:rPr>
          <w:spacing w:val="2"/>
        </w:rPr>
        <w:t>Claim</w:t>
      </w:r>
      <w:r>
        <w:rPr>
          <w:spacing w:val="39"/>
        </w:rPr>
        <w:t> </w:t>
      </w:r>
      <w:r>
        <w:rPr>
          <w:spacing w:val="2"/>
        </w:rPr>
        <w:t>for</w:t>
      </w:r>
      <w:r>
        <w:rPr>
          <w:spacing w:val="40"/>
        </w:rPr>
        <w:t> </w:t>
      </w:r>
      <w:r>
        <w:rPr>
          <w:spacing w:val="2"/>
        </w:rPr>
        <w:t>Respiratory</w:t>
      </w:r>
      <w:r>
        <w:rPr>
          <w:spacing w:val="37"/>
        </w:rPr>
        <w:t> </w:t>
      </w:r>
      <w:r>
        <w:rPr>
          <w:spacing w:val="2"/>
        </w:rPr>
        <w:t>Multiplex</w:t>
      </w:r>
      <w:r>
        <w:rPr>
          <w:spacing w:val="42"/>
        </w:rPr>
        <w:t> </w:t>
      </w:r>
      <w:r>
        <w:rPr>
          <w:spacing w:val="2"/>
        </w:rPr>
        <w:t>Molecular</w:t>
      </w:r>
      <w:r>
        <w:rPr>
          <w:spacing w:val="39"/>
        </w:rPr>
        <w:t> </w:t>
      </w:r>
      <w:r>
        <w:rPr>
          <w:spacing w:val="-2"/>
        </w:rPr>
        <w:t>Testing</w:t>
      </w:r>
    </w:p>
    <w:p>
      <w:pPr>
        <w:pStyle w:val="BodyText"/>
        <w:spacing w:before="240"/>
        <w:ind w:left="1079"/>
      </w:pPr>
      <w:r>
        <w:rPr/>
        <w:t>To</w:t>
      </w:r>
      <w:r>
        <w:rPr>
          <w:spacing w:val="-4"/>
        </w:rPr>
        <w:t> </w:t>
      </w:r>
      <w:r>
        <w:rPr/>
        <w:t>Whom It</w:t>
      </w:r>
      <w:r>
        <w:rPr>
          <w:spacing w:val="-4"/>
        </w:rPr>
        <w:t> </w:t>
      </w:r>
      <w:r>
        <w:rPr/>
        <w:t>May</w:t>
      </w:r>
      <w:r>
        <w:rPr>
          <w:spacing w:val="-3"/>
        </w:rPr>
        <w:t> </w:t>
      </w:r>
      <w:r>
        <w:rPr>
          <w:spacing w:val="-2"/>
        </w:rPr>
        <w:t>Concern,</w:t>
      </w:r>
    </w:p>
    <w:p>
      <w:pPr>
        <w:pStyle w:val="BodyText"/>
        <w:spacing w:before="239"/>
        <w:ind w:left="1079" w:right="1089"/>
      </w:pPr>
      <w:r>
        <w:rPr>
          <w:w w:val="105"/>
        </w:rPr>
        <w:t>I am writing to formally appeal the denial of coverage for multiplex respiratory molecular testing performed on</w:t>
      </w:r>
      <w:r>
        <w:rPr>
          <w:spacing w:val="-2"/>
          <w:w w:val="105"/>
        </w:rPr>
        <w:t> </w:t>
      </w:r>
      <w:r>
        <w:rPr>
          <w:w w:val="105"/>
        </w:rPr>
        <w:t>my</w:t>
      </w:r>
      <w:r>
        <w:rPr>
          <w:spacing w:val="-2"/>
          <w:w w:val="105"/>
        </w:rPr>
        <w:t> </w:t>
      </w:r>
      <w:r>
        <w:rPr>
          <w:w w:val="105"/>
        </w:rPr>
        <w:t>patient,</w:t>
      </w:r>
      <w:r>
        <w:rPr>
          <w:spacing w:val="-1"/>
          <w:w w:val="105"/>
        </w:rPr>
        <w:t> </w:t>
      </w:r>
      <w:r>
        <w:rPr>
          <w:color w:val="FF0000"/>
          <w:w w:val="105"/>
        </w:rPr>
        <w:t>Patient</w:t>
      </w:r>
      <w:r>
        <w:rPr>
          <w:color w:val="FF0000"/>
          <w:spacing w:val="-3"/>
          <w:w w:val="105"/>
        </w:rPr>
        <w:t> </w:t>
      </w:r>
      <w:r>
        <w:rPr>
          <w:color w:val="FF0000"/>
          <w:w w:val="105"/>
        </w:rPr>
        <w:t>Name</w:t>
      </w:r>
      <w:r>
        <w:rPr>
          <w:w w:val="105"/>
        </w:rPr>
        <w:t>,</w:t>
      </w:r>
      <w:r>
        <w:rPr>
          <w:spacing w:val="-1"/>
          <w:w w:val="105"/>
        </w:rPr>
        <w:t> </w:t>
      </w:r>
      <w:r>
        <w:rPr>
          <w:w w:val="105"/>
        </w:rPr>
        <w:t>on</w:t>
      </w:r>
      <w:r>
        <w:rPr>
          <w:spacing w:val="-2"/>
          <w:w w:val="105"/>
        </w:rPr>
        <w:t> </w:t>
      </w:r>
      <w:r>
        <w:rPr>
          <w:color w:val="FF0000"/>
          <w:w w:val="105"/>
        </w:rPr>
        <w:t>Date</w:t>
      </w:r>
      <w:r>
        <w:rPr>
          <w:color w:val="FF0000"/>
          <w:spacing w:val="-1"/>
          <w:w w:val="105"/>
        </w:rPr>
        <w:t> </w:t>
      </w:r>
      <w:r>
        <w:rPr>
          <w:color w:val="FF0000"/>
          <w:w w:val="105"/>
        </w:rPr>
        <w:t>of</w:t>
      </w:r>
      <w:r>
        <w:rPr>
          <w:color w:val="FF0000"/>
          <w:spacing w:val="-2"/>
          <w:w w:val="105"/>
        </w:rPr>
        <w:t> </w:t>
      </w:r>
      <w:r>
        <w:rPr>
          <w:color w:val="FF0000"/>
          <w:w w:val="105"/>
        </w:rPr>
        <w:t>Service</w:t>
      </w:r>
      <w:r>
        <w:rPr>
          <w:w w:val="105"/>
        </w:rPr>
        <w:t>.</w:t>
      </w:r>
      <w:r>
        <w:rPr>
          <w:spacing w:val="-1"/>
          <w:w w:val="105"/>
        </w:rPr>
        <w:t> </w:t>
      </w:r>
      <w:r>
        <w:rPr>
          <w:w w:val="105"/>
        </w:rPr>
        <w:t>The</w:t>
      </w:r>
      <w:r>
        <w:rPr>
          <w:spacing w:val="-1"/>
          <w:w w:val="105"/>
        </w:rPr>
        <w:t> </w:t>
      </w:r>
      <w:r>
        <w:rPr>
          <w:w w:val="105"/>
        </w:rPr>
        <w:t>claim</w:t>
      </w:r>
      <w:r>
        <w:rPr>
          <w:spacing w:val="-2"/>
          <w:w w:val="105"/>
        </w:rPr>
        <w:t> </w:t>
      </w:r>
      <w:r>
        <w:rPr>
          <w:w w:val="105"/>
        </w:rPr>
        <w:t>was</w:t>
      </w:r>
      <w:r>
        <w:rPr>
          <w:spacing w:val="-1"/>
          <w:w w:val="105"/>
        </w:rPr>
        <w:t> </w:t>
      </w:r>
      <w:r>
        <w:rPr>
          <w:w w:val="105"/>
        </w:rPr>
        <w:t>denied</w:t>
      </w:r>
      <w:r>
        <w:rPr>
          <w:spacing w:val="-2"/>
          <w:w w:val="105"/>
        </w:rPr>
        <w:t> </w:t>
      </w:r>
      <w:r>
        <w:rPr>
          <w:w w:val="105"/>
        </w:rPr>
        <w:t>as</w:t>
      </w:r>
      <w:r>
        <w:rPr>
          <w:spacing w:val="-1"/>
          <w:w w:val="105"/>
        </w:rPr>
        <w:t> </w:t>
      </w:r>
      <w:r>
        <w:rPr>
          <w:color w:val="FF0000"/>
          <w:w w:val="105"/>
        </w:rPr>
        <w:t>Insert Denial Reason</w:t>
      </w:r>
      <w:r>
        <w:rPr>
          <w:w w:val="105"/>
        </w:rPr>
        <w:t>. Based on the patient’s clinical presentation, risk profile, and the immediate impact of the test results on management decisions, this testing was medically necessary and consistent with current standards of evidence-based respiratory care.</w:t>
      </w:r>
    </w:p>
    <w:p>
      <w:pPr>
        <w:pStyle w:val="Heading3"/>
        <w:spacing w:before="242"/>
      </w:pPr>
      <w:r>
        <w:rPr>
          <w:w w:val="110"/>
        </w:rPr>
        <w:t>Patient</w:t>
      </w:r>
      <w:r>
        <w:rPr>
          <w:spacing w:val="-8"/>
          <w:w w:val="110"/>
        </w:rPr>
        <w:t> </w:t>
      </w:r>
      <w:r>
        <w:rPr>
          <w:w w:val="110"/>
        </w:rPr>
        <w:t>Clinical</w:t>
      </w:r>
      <w:r>
        <w:rPr>
          <w:spacing w:val="-8"/>
          <w:w w:val="110"/>
        </w:rPr>
        <w:t> </w:t>
      </w:r>
      <w:r>
        <w:rPr>
          <w:w w:val="110"/>
        </w:rPr>
        <w:t>History</w:t>
      </w:r>
      <w:r>
        <w:rPr>
          <w:spacing w:val="-9"/>
          <w:w w:val="110"/>
        </w:rPr>
        <w:t> </w:t>
      </w:r>
      <w:r>
        <w:rPr>
          <w:w w:val="110"/>
        </w:rPr>
        <w:t>and</w:t>
      </w:r>
      <w:r>
        <w:rPr>
          <w:spacing w:val="-8"/>
          <w:w w:val="110"/>
        </w:rPr>
        <w:t> </w:t>
      </w:r>
      <w:r>
        <w:rPr>
          <w:w w:val="110"/>
        </w:rPr>
        <w:t>Medical</w:t>
      </w:r>
      <w:r>
        <w:rPr>
          <w:spacing w:val="-7"/>
          <w:w w:val="110"/>
        </w:rPr>
        <w:t> </w:t>
      </w:r>
      <w:r>
        <w:rPr>
          <w:spacing w:val="-2"/>
          <w:w w:val="110"/>
        </w:rPr>
        <w:t>Necessity</w:t>
      </w:r>
    </w:p>
    <w:p>
      <w:pPr>
        <w:pStyle w:val="BodyText"/>
        <w:ind w:left="1079" w:right="1089"/>
      </w:pPr>
      <w:r>
        <w:rPr>
          <w:color w:val="FF0000"/>
          <w:w w:val="105"/>
        </w:rPr>
        <w:t>[Patient Name</w:t>
      </w:r>
      <w:r>
        <w:rPr>
          <w:w w:val="105"/>
        </w:rPr>
        <w:t>] presented with acute signs and symptoms consistent with a clinically significant respiratory tract infection, including:</w:t>
      </w:r>
    </w:p>
    <w:p>
      <w:pPr>
        <w:pStyle w:val="ListParagraph"/>
        <w:numPr>
          <w:ilvl w:val="0"/>
          <w:numId w:val="2"/>
        </w:numPr>
        <w:tabs>
          <w:tab w:pos="1799" w:val="left" w:leader="none"/>
        </w:tabs>
        <w:spacing w:line="240" w:lineRule="auto" w:before="1" w:after="0"/>
        <w:ind w:left="1799" w:right="2081" w:hanging="360"/>
        <w:jc w:val="left"/>
        <w:rPr>
          <w:rFonts w:ascii="Symbol" w:hAnsi="Symbol"/>
          <w:sz w:val="24"/>
        </w:rPr>
      </w:pPr>
      <w:r>
        <w:rPr>
          <w:color w:val="FF0000"/>
          <w:w w:val="105"/>
          <w:sz w:val="24"/>
        </w:rPr>
        <w:t>Insert</w:t>
      </w:r>
      <w:r>
        <w:rPr>
          <w:color w:val="FF0000"/>
          <w:spacing w:val="-1"/>
          <w:w w:val="105"/>
          <w:sz w:val="24"/>
        </w:rPr>
        <w:t> </w:t>
      </w:r>
      <w:r>
        <w:rPr>
          <w:color w:val="FF0000"/>
          <w:w w:val="105"/>
          <w:sz w:val="24"/>
        </w:rPr>
        <w:t>symptoms: fever, dyspnea, cough, hypoxia, wheezing, tachypnea, lethargy, respiratory distress, etc.</w:t>
      </w:r>
    </w:p>
    <w:p>
      <w:pPr>
        <w:pStyle w:val="BodyText"/>
        <w:spacing w:before="2"/>
        <w:ind w:left="0"/>
      </w:pPr>
    </w:p>
    <w:p>
      <w:pPr>
        <w:pStyle w:val="BodyText"/>
        <w:ind w:left="1079" w:right="1277"/>
      </w:pPr>
      <w:r>
        <w:rPr>
          <w:w w:val="105"/>
        </w:rPr>
        <w:t>The</w:t>
      </w:r>
      <w:r>
        <w:rPr>
          <w:spacing w:val="-6"/>
          <w:w w:val="105"/>
        </w:rPr>
        <w:t> </w:t>
      </w:r>
      <w:r>
        <w:rPr>
          <w:w w:val="105"/>
        </w:rPr>
        <w:t>patient</w:t>
      </w:r>
      <w:r>
        <w:rPr>
          <w:spacing w:val="-8"/>
          <w:w w:val="105"/>
        </w:rPr>
        <w:t> </w:t>
      </w:r>
      <w:r>
        <w:rPr>
          <w:w w:val="105"/>
        </w:rPr>
        <w:t>also</w:t>
      </w:r>
      <w:r>
        <w:rPr>
          <w:spacing w:val="-7"/>
          <w:w w:val="105"/>
        </w:rPr>
        <w:t> </w:t>
      </w:r>
      <w:r>
        <w:rPr>
          <w:w w:val="105"/>
        </w:rPr>
        <w:t>met</w:t>
      </w:r>
      <w:r>
        <w:rPr>
          <w:spacing w:val="-5"/>
          <w:w w:val="105"/>
        </w:rPr>
        <w:t> </w:t>
      </w:r>
      <w:r>
        <w:rPr>
          <w:w w:val="105"/>
        </w:rPr>
        <w:t>criteria</w:t>
      </w:r>
      <w:r>
        <w:rPr>
          <w:spacing w:val="-7"/>
          <w:w w:val="105"/>
        </w:rPr>
        <w:t> </w:t>
      </w:r>
      <w:r>
        <w:rPr>
          <w:w w:val="105"/>
        </w:rPr>
        <w:t>for</w:t>
      </w:r>
      <w:r>
        <w:rPr>
          <w:spacing w:val="-8"/>
          <w:w w:val="105"/>
        </w:rPr>
        <w:t> </w:t>
      </w:r>
      <w:r>
        <w:rPr>
          <w:w w:val="105"/>
        </w:rPr>
        <w:t>elevated</w:t>
      </w:r>
      <w:r>
        <w:rPr>
          <w:spacing w:val="-7"/>
          <w:w w:val="105"/>
        </w:rPr>
        <w:t> </w:t>
      </w:r>
      <w:r>
        <w:rPr>
          <w:w w:val="105"/>
        </w:rPr>
        <w:t>risk</w:t>
      </w:r>
      <w:r>
        <w:rPr>
          <w:spacing w:val="-6"/>
          <w:w w:val="105"/>
        </w:rPr>
        <w:t> </w:t>
      </w:r>
      <w:r>
        <w:rPr>
          <w:w w:val="105"/>
        </w:rPr>
        <w:t>of</w:t>
      </w:r>
      <w:r>
        <w:rPr>
          <w:spacing w:val="-5"/>
          <w:w w:val="105"/>
        </w:rPr>
        <w:t> </w:t>
      </w:r>
      <w:r>
        <w:rPr>
          <w:w w:val="105"/>
        </w:rPr>
        <w:t>complications</w:t>
      </w:r>
      <w:r>
        <w:rPr>
          <w:spacing w:val="-6"/>
          <w:w w:val="105"/>
        </w:rPr>
        <w:t> </w:t>
      </w:r>
      <w:r>
        <w:rPr>
          <w:w w:val="105"/>
        </w:rPr>
        <w:t>from</w:t>
      </w:r>
      <w:r>
        <w:rPr>
          <w:spacing w:val="-5"/>
          <w:w w:val="105"/>
        </w:rPr>
        <w:t> </w:t>
      </w:r>
      <w:r>
        <w:rPr>
          <w:w w:val="105"/>
        </w:rPr>
        <w:t>respiratory</w:t>
      </w:r>
      <w:r>
        <w:rPr>
          <w:spacing w:val="-7"/>
          <w:w w:val="105"/>
        </w:rPr>
        <w:t> </w:t>
      </w:r>
      <w:r>
        <w:rPr>
          <w:w w:val="105"/>
        </w:rPr>
        <w:t>infection</w:t>
      </w:r>
      <w:r>
        <w:rPr>
          <w:spacing w:val="-7"/>
          <w:w w:val="105"/>
        </w:rPr>
        <w:t> </w:t>
      </w:r>
      <w:r>
        <w:rPr>
          <w:w w:val="105"/>
        </w:rPr>
        <w:t>due</w:t>
      </w:r>
      <w:r>
        <w:rPr>
          <w:spacing w:val="-6"/>
          <w:w w:val="105"/>
        </w:rPr>
        <w:t> </w:t>
      </w:r>
      <w:r>
        <w:rPr>
          <w:w w:val="105"/>
        </w:rPr>
        <w:t>to the following comorbidities and/or risk factors:</w:t>
      </w:r>
    </w:p>
    <w:p>
      <w:pPr>
        <w:pStyle w:val="BodyText"/>
        <w:spacing w:line="293" w:lineRule="exact"/>
        <w:ind w:left="1079"/>
      </w:pPr>
      <w:r>
        <w:rPr>
          <w:color w:val="FF0000"/>
          <w:w w:val="105"/>
        </w:rPr>
        <w:t>Include</w:t>
      </w:r>
      <w:r>
        <w:rPr>
          <w:color w:val="FF0000"/>
          <w:spacing w:val="-12"/>
          <w:w w:val="105"/>
        </w:rPr>
        <w:t> </w:t>
      </w:r>
      <w:r>
        <w:rPr>
          <w:color w:val="FF0000"/>
          <w:w w:val="105"/>
        </w:rPr>
        <w:t>the</w:t>
      </w:r>
      <w:r>
        <w:rPr>
          <w:color w:val="FF0000"/>
          <w:spacing w:val="-11"/>
          <w:w w:val="105"/>
        </w:rPr>
        <w:t> </w:t>
      </w:r>
      <w:r>
        <w:rPr>
          <w:color w:val="FF0000"/>
          <w:w w:val="105"/>
        </w:rPr>
        <w:t>appropriate</w:t>
      </w:r>
      <w:r>
        <w:rPr>
          <w:color w:val="FF0000"/>
          <w:spacing w:val="-9"/>
          <w:w w:val="105"/>
        </w:rPr>
        <w:t> </w:t>
      </w:r>
      <w:r>
        <w:rPr>
          <w:color w:val="FF0000"/>
          <w:w w:val="105"/>
        </w:rPr>
        <w:t>patient</w:t>
      </w:r>
      <w:r>
        <w:rPr>
          <w:color w:val="FF0000"/>
          <w:spacing w:val="-10"/>
          <w:w w:val="105"/>
        </w:rPr>
        <w:t> </w:t>
      </w:r>
      <w:r>
        <w:rPr>
          <w:color w:val="FF0000"/>
          <w:w w:val="105"/>
        </w:rPr>
        <w:t>risk</w:t>
      </w:r>
      <w:r>
        <w:rPr>
          <w:color w:val="FF0000"/>
          <w:spacing w:val="-12"/>
          <w:w w:val="105"/>
        </w:rPr>
        <w:t> </w:t>
      </w:r>
      <w:r>
        <w:rPr>
          <w:color w:val="FF0000"/>
          <w:w w:val="105"/>
        </w:rPr>
        <w:t>category</w:t>
      </w:r>
      <w:r>
        <w:rPr>
          <w:color w:val="FF0000"/>
          <w:spacing w:val="-10"/>
          <w:w w:val="105"/>
        </w:rPr>
        <w:t> </w:t>
      </w:r>
      <w:r>
        <w:rPr>
          <w:color w:val="FF0000"/>
          <w:w w:val="105"/>
        </w:rPr>
        <w:t>and</w:t>
      </w:r>
      <w:r>
        <w:rPr>
          <w:color w:val="FF0000"/>
          <w:spacing w:val="-12"/>
          <w:w w:val="105"/>
        </w:rPr>
        <w:t> </w:t>
      </w:r>
      <w:r>
        <w:rPr>
          <w:color w:val="FF0000"/>
          <w:w w:val="105"/>
        </w:rPr>
        <w:t>delete</w:t>
      </w:r>
      <w:r>
        <w:rPr>
          <w:color w:val="FF0000"/>
          <w:spacing w:val="-11"/>
          <w:w w:val="105"/>
        </w:rPr>
        <w:t> </w:t>
      </w:r>
      <w:r>
        <w:rPr>
          <w:color w:val="FF0000"/>
          <w:w w:val="105"/>
        </w:rPr>
        <w:t>the</w:t>
      </w:r>
      <w:r>
        <w:rPr>
          <w:color w:val="FF0000"/>
          <w:spacing w:val="-11"/>
          <w:w w:val="105"/>
        </w:rPr>
        <w:t> </w:t>
      </w:r>
      <w:r>
        <w:rPr>
          <w:color w:val="FF0000"/>
          <w:spacing w:val="-2"/>
          <w:w w:val="105"/>
        </w:rPr>
        <w:t>others: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Age-related</w:t>
      </w:r>
      <w:r>
        <w:rPr>
          <w:spacing w:val="19"/>
          <w:sz w:val="24"/>
        </w:rPr>
        <w:t> </w:t>
      </w:r>
      <w:r>
        <w:rPr>
          <w:sz w:val="24"/>
        </w:rPr>
        <w:t>risk</w:t>
      </w:r>
      <w:r>
        <w:rPr>
          <w:spacing w:val="20"/>
          <w:sz w:val="24"/>
        </w:rPr>
        <w:t> </w:t>
      </w:r>
      <w:r>
        <w:rPr>
          <w:sz w:val="24"/>
        </w:rPr>
        <w:t>(infant/young</w:t>
      </w:r>
      <w:r>
        <w:rPr>
          <w:spacing w:val="18"/>
          <w:sz w:val="24"/>
        </w:rPr>
        <w:t> </w:t>
      </w:r>
      <w:r>
        <w:rPr>
          <w:sz w:val="24"/>
        </w:rPr>
        <w:t>child</w:t>
      </w:r>
      <w:r>
        <w:rPr>
          <w:spacing w:val="19"/>
          <w:sz w:val="24"/>
        </w:rPr>
        <w:t> </w:t>
      </w:r>
      <w:r>
        <w:rPr>
          <w:sz w:val="24"/>
        </w:rPr>
        <w:t>or</w:t>
      </w:r>
      <w:r>
        <w:rPr>
          <w:spacing w:val="17"/>
          <w:sz w:val="24"/>
        </w:rPr>
        <w:t> </w:t>
      </w:r>
      <w:r>
        <w:rPr>
          <w:sz w:val="24"/>
        </w:rPr>
        <w:t>older</w:t>
      </w:r>
      <w:r>
        <w:rPr>
          <w:spacing w:val="22"/>
          <w:sz w:val="24"/>
        </w:rPr>
        <w:t> </w:t>
      </w:r>
      <w:r>
        <w:rPr>
          <w:spacing w:val="-2"/>
          <w:sz w:val="24"/>
        </w:rPr>
        <w:t>adult)</w:t>
      </w:r>
    </w:p>
    <w:p>
      <w:pPr>
        <w:pStyle w:val="ListParagraph"/>
        <w:numPr>
          <w:ilvl w:val="0"/>
          <w:numId w:val="2"/>
        </w:numPr>
        <w:tabs>
          <w:tab w:pos="1799" w:val="left" w:leader="none"/>
        </w:tabs>
        <w:spacing w:line="240" w:lineRule="auto" w:before="1" w:after="0"/>
        <w:ind w:left="1799" w:right="0" w:hanging="360"/>
        <w:jc w:val="left"/>
        <w:rPr>
          <w:rFonts w:ascii="Symbol" w:hAnsi="Symbol"/>
          <w:sz w:val="24"/>
        </w:rPr>
      </w:pPr>
      <w:r>
        <w:rPr>
          <w:spacing w:val="4"/>
          <w:sz w:val="24"/>
        </w:rPr>
        <w:t>Chronic</w:t>
      </w:r>
      <w:r>
        <w:rPr>
          <w:spacing w:val="29"/>
          <w:sz w:val="24"/>
        </w:rPr>
        <w:t> </w:t>
      </w:r>
      <w:r>
        <w:rPr>
          <w:spacing w:val="4"/>
          <w:sz w:val="24"/>
        </w:rPr>
        <w:t>pulmonary</w:t>
      </w:r>
      <w:r>
        <w:rPr>
          <w:spacing w:val="31"/>
          <w:sz w:val="24"/>
        </w:rPr>
        <w:t> </w:t>
      </w:r>
      <w:r>
        <w:rPr>
          <w:spacing w:val="4"/>
          <w:sz w:val="24"/>
        </w:rPr>
        <w:t>disease</w:t>
      </w:r>
      <w:r>
        <w:rPr>
          <w:spacing w:val="29"/>
          <w:sz w:val="24"/>
        </w:rPr>
        <w:t> </w:t>
      </w:r>
      <w:r>
        <w:rPr>
          <w:spacing w:val="4"/>
          <w:sz w:val="24"/>
        </w:rPr>
        <w:t>(e.g.,</w:t>
      </w:r>
      <w:r>
        <w:rPr>
          <w:spacing w:val="29"/>
          <w:sz w:val="24"/>
        </w:rPr>
        <w:t> </w:t>
      </w:r>
      <w:r>
        <w:rPr>
          <w:spacing w:val="4"/>
          <w:sz w:val="24"/>
        </w:rPr>
        <w:t>asthma,</w:t>
      </w:r>
      <w:r>
        <w:rPr>
          <w:spacing w:val="29"/>
          <w:sz w:val="24"/>
        </w:rPr>
        <w:t> </w:t>
      </w:r>
      <w:r>
        <w:rPr>
          <w:spacing w:val="4"/>
          <w:sz w:val="24"/>
        </w:rPr>
        <w:t>COPD,</w:t>
      </w:r>
      <w:r>
        <w:rPr>
          <w:spacing w:val="30"/>
          <w:sz w:val="24"/>
        </w:rPr>
        <w:t> </w:t>
      </w:r>
      <w:r>
        <w:rPr>
          <w:spacing w:val="4"/>
          <w:sz w:val="24"/>
        </w:rPr>
        <w:t>cystic</w:t>
      </w:r>
      <w:r>
        <w:rPr>
          <w:spacing w:val="29"/>
          <w:sz w:val="24"/>
        </w:rPr>
        <w:t> </w:t>
      </w:r>
      <w:r>
        <w:rPr>
          <w:spacing w:val="-2"/>
          <w:sz w:val="24"/>
        </w:rPr>
        <w:t>fibrosis)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Immunocompromised</w:t>
      </w:r>
      <w:r>
        <w:rPr>
          <w:spacing w:val="5"/>
          <w:w w:val="105"/>
          <w:sz w:val="24"/>
        </w:rPr>
        <w:t> </w:t>
      </w:r>
      <w:r>
        <w:rPr>
          <w:w w:val="105"/>
          <w:sz w:val="24"/>
        </w:rPr>
        <w:t>state</w:t>
      </w:r>
      <w:r>
        <w:rPr>
          <w:spacing w:val="7"/>
          <w:w w:val="105"/>
          <w:sz w:val="24"/>
        </w:rPr>
        <w:t> </w:t>
      </w:r>
      <w:r>
        <w:rPr>
          <w:w w:val="105"/>
          <w:sz w:val="24"/>
        </w:rPr>
        <w:t>(e.g.,</w:t>
      </w:r>
      <w:r>
        <w:rPr>
          <w:spacing w:val="6"/>
          <w:w w:val="105"/>
          <w:sz w:val="24"/>
        </w:rPr>
        <w:t> </w:t>
      </w:r>
      <w:r>
        <w:rPr>
          <w:w w:val="105"/>
          <w:sz w:val="24"/>
        </w:rPr>
        <w:t>chemotherapy,</w:t>
      </w:r>
      <w:r>
        <w:rPr>
          <w:spacing w:val="7"/>
          <w:w w:val="105"/>
          <w:sz w:val="24"/>
        </w:rPr>
        <w:t> </w:t>
      </w:r>
      <w:r>
        <w:rPr>
          <w:w w:val="105"/>
          <w:sz w:val="24"/>
        </w:rPr>
        <w:t>transplant,</w:t>
      </w:r>
      <w:r>
        <w:rPr>
          <w:spacing w:val="7"/>
          <w:w w:val="105"/>
          <w:sz w:val="24"/>
        </w:rPr>
        <w:t> </w:t>
      </w:r>
      <w:r>
        <w:rPr>
          <w:w w:val="105"/>
          <w:sz w:val="24"/>
        </w:rPr>
        <w:t>immunosuppressive</w:t>
      </w:r>
      <w:r>
        <w:rPr>
          <w:spacing w:val="7"/>
          <w:w w:val="105"/>
          <w:sz w:val="24"/>
        </w:rPr>
        <w:t> </w:t>
      </w:r>
      <w:r>
        <w:rPr>
          <w:spacing w:val="-2"/>
          <w:w w:val="105"/>
          <w:sz w:val="24"/>
        </w:rPr>
        <w:t>therapy)</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pacing w:val="2"/>
          <w:w w:val="105"/>
          <w:sz w:val="24"/>
        </w:rPr>
        <w:t>Cardiovascular</w:t>
      </w:r>
      <w:r>
        <w:rPr>
          <w:spacing w:val="18"/>
          <w:w w:val="110"/>
          <w:sz w:val="24"/>
        </w:rPr>
        <w:t> </w:t>
      </w:r>
      <w:r>
        <w:rPr>
          <w:spacing w:val="-2"/>
          <w:w w:val="110"/>
          <w:sz w:val="24"/>
        </w:rPr>
        <w:t>disease</w:t>
      </w:r>
    </w:p>
    <w:p>
      <w:pPr>
        <w:pStyle w:val="ListParagraph"/>
        <w:numPr>
          <w:ilvl w:val="0"/>
          <w:numId w:val="2"/>
        </w:numPr>
        <w:tabs>
          <w:tab w:pos="1799" w:val="left" w:leader="none"/>
        </w:tabs>
        <w:spacing w:line="240" w:lineRule="auto" w:before="2" w:after="0"/>
        <w:ind w:left="1799" w:right="0" w:hanging="360"/>
        <w:jc w:val="left"/>
        <w:rPr>
          <w:rFonts w:ascii="Symbol" w:hAnsi="Symbol"/>
          <w:sz w:val="24"/>
        </w:rPr>
      </w:pPr>
      <w:r>
        <w:rPr>
          <w:spacing w:val="-2"/>
          <w:w w:val="105"/>
          <w:sz w:val="24"/>
        </w:rPr>
        <w:t>Metabolic</w:t>
      </w:r>
      <w:r>
        <w:rPr>
          <w:spacing w:val="-2"/>
          <w:w w:val="110"/>
          <w:sz w:val="24"/>
        </w:rPr>
        <w:t> disease</w:t>
      </w:r>
    </w:p>
    <w:p>
      <w:pPr>
        <w:pStyle w:val="ListParagraph"/>
        <w:numPr>
          <w:ilvl w:val="0"/>
          <w:numId w:val="2"/>
        </w:numPr>
        <w:tabs>
          <w:tab w:pos="1799" w:val="left" w:leader="none"/>
        </w:tabs>
        <w:spacing w:line="240" w:lineRule="auto" w:before="3" w:after="0"/>
        <w:ind w:left="1799" w:right="0" w:hanging="360"/>
        <w:jc w:val="left"/>
        <w:rPr>
          <w:rFonts w:ascii="Symbol" w:hAnsi="Symbol"/>
          <w:sz w:val="24"/>
        </w:rPr>
      </w:pPr>
      <w:r>
        <w:rPr>
          <w:spacing w:val="-2"/>
          <w:w w:val="105"/>
          <w:sz w:val="24"/>
        </w:rPr>
        <w:t>Pregnancy</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Other</w:t>
      </w:r>
      <w:r>
        <w:rPr>
          <w:spacing w:val="6"/>
          <w:w w:val="105"/>
          <w:sz w:val="24"/>
        </w:rPr>
        <w:t> </w:t>
      </w:r>
      <w:r>
        <w:rPr>
          <w:w w:val="105"/>
          <w:sz w:val="24"/>
        </w:rPr>
        <w:t>clinically</w:t>
      </w:r>
      <w:r>
        <w:rPr>
          <w:spacing w:val="8"/>
          <w:w w:val="105"/>
          <w:sz w:val="24"/>
        </w:rPr>
        <w:t> </w:t>
      </w:r>
      <w:r>
        <w:rPr>
          <w:w w:val="105"/>
          <w:sz w:val="24"/>
        </w:rPr>
        <w:t>significant</w:t>
      </w:r>
      <w:r>
        <w:rPr>
          <w:spacing w:val="7"/>
          <w:w w:val="105"/>
          <w:sz w:val="24"/>
        </w:rPr>
        <w:t> </w:t>
      </w:r>
      <w:r>
        <w:rPr>
          <w:w w:val="105"/>
          <w:sz w:val="24"/>
        </w:rPr>
        <w:t>comorbidities:</w:t>
      </w:r>
      <w:r>
        <w:rPr>
          <w:spacing w:val="10"/>
          <w:w w:val="105"/>
          <w:sz w:val="24"/>
        </w:rPr>
        <w:t> </w:t>
      </w:r>
      <w:r>
        <w:rPr>
          <w:color w:val="FF0000"/>
          <w:spacing w:val="-2"/>
          <w:w w:val="105"/>
          <w:sz w:val="24"/>
        </w:rPr>
        <w:t>Insert</w:t>
      </w:r>
    </w:p>
    <w:p>
      <w:pPr>
        <w:pStyle w:val="ListParagraph"/>
        <w:spacing w:after="0" w:line="240" w:lineRule="auto"/>
        <w:jc w:val="left"/>
        <w:rPr>
          <w:rFonts w:ascii="Symbol" w:hAnsi="Symbol"/>
          <w:sz w:val="24"/>
        </w:rPr>
        <w:sectPr>
          <w:pgSz w:w="12240" w:h="15840"/>
          <w:pgMar w:top="1360" w:bottom="280" w:left="0" w:right="0"/>
        </w:sectPr>
      </w:pPr>
    </w:p>
    <w:p>
      <w:pPr>
        <w:pStyle w:val="BodyText"/>
        <w:spacing w:before="77"/>
        <w:ind w:left="1080" w:right="1089"/>
      </w:pPr>
      <w:r>
        <w:rPr>
          <w:w w:val="105"/>
        </w:rPr>
        <w:t>Given the patient’s symptoms and elevated risk profile, rapid pathogen identification was necessary to guide immediate management decisions and determine the most</w:t>
      </w:r>
      <w:r>
        <w:rPr>
          <w:spacing w:val="-1"/>
          <w:w w:val="105"/>
        </w:rPr>
        <w:t> </w:t>
      </w:r>
      <w:r>
        <w:rPr>
          <w:w w:val="105"/>
        </w:rPr>
        <w:t>appropriate treatment pathway.</w:t>
      </w:r>
    </w:p>
    <w:p>
      <w:pPr>
        <w:pStyle w:val="BodyText"/>
        <w:spacing w:before="239"/>
        <w:ind w:left="1079" w:right="1277"/>
      </w:pPr>
      <w:r>
        <w:rPr>
          <w:w w:val="105"/>
        </w:rPr>
        <w:t>Importantly, respiratory pathogens frequently present with overlapping clinical symptoms, making empiric diagnosis unreliable. Distinguishing between pathogens such as SARS-CoV-2, Influenza A/B, RSV, and rhinovirus/enterovirus pathogens directly impacts: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Antiviral</w:t>
      </w:r>
      <w:r>
        <w:rPr>
          <w:spacing w:val="15"/>
          <w:sz w:val="24"/>
        </w:rPr>
        <w:t> </w:t>
      </w:r>
      <w:r>
        <w:rPr>
          <w:sz w:val="24"/>
        </w:rPr>
        <w:t>treatment</w:t>
      </w:r>
      <w:r>
        <w:rPr>
          <w:spacing w:val="10"/>
          <w:sz w:val="24"/>
        </w:rPr>
        <w:t> </w:t>
      </w:r>
      <w:r>
        <w:rPr>
          <w:spacing w:val="-2"/>
          <w:sz w:val="24"/>
        </w:rPr>
        <w:t>decisions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Avoidance</w:t>
      </w:r>
      <w:r>
        <w:rPr>
          <w:spacing w:val="2"/>
          <w:w w:val="105"/>
          <w:sz w:val="24"/>
        </w:rPr>
        <w:t> </w:t>
      </w:r>
      <w:r>
        <w:rPr>
          <w:w w:val="105"/>
          <w:sz w:val="24"/>
        </w:rPr>
        <w:t>of</w:t>
      </w:r>
      <w:r>
        <w:rPr>
          <w:spacing w:val="1"/>
          <w:w w:val="105"/>
          <w:sz w:val="24"/>
        </w:rPr>
        <w:t> </w:t>
      </w:r>
      <w:r>
        <w:rPr>
          <w:w w:val="105"/>
          <w:sz w:val="24"/>
        </w:rPr>
        <w:t>unnecessary</w:t>
      </w:r>
      <w:r>
        <w:rPr>
          <w:spacing w:val="2"/>
          <w:w w:val="105"/>
          <w:sz w:val="24"/>
        </w:rPr>
        <w:t> </w:t>
      </w:r>
      <w:r>
        <w:rPr>
          <w:w w:val="105"/>
          <w:sz w:val="24"/>
        </w:rPr>
        <w:t>antibiotic</w:t>
      </w:r>
      <w:r>
        <w:rPr>
          <w:spacing w:val="2"/>
          <w:w w:val="105"/>
          <w:sz w:val="24"/>
        </w:rPr>
        <w:t> </w:t>
      </w:r>
      <w:r>
        <w:rPr>
          <w:spacing w:val="-2"/>
          <w:w w:val="105"/>
          <w:sz w:val="24"/>
        </w:rPr>
        <w:t>utilization</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Monitoring</w:t>
      </w:r>
      <w:r>
        <w:rPr>
          <w:spacing w:val="27"/>
          <w:sz w:val="24"/>
        </w:rPr>
        <w:t> </w:t>
      </w:r>
      <w:r>
        <w:rPr>
          <w:sz w:val="24"/>
        </w:rPr>
        <w:t>intensity</w:t>
      </w:r>
      <w:r>
        <w:rPr>
          <w:spacing w:val="33"/>
          <w:sz w:val="24"/>
        </w:rPr>
        <w:t> </w:t>
      </w:r>
      <w:r>
        <w:rPr>
          <w:sz w:val="24"/>
        </w:rPr>
        <w:t>and</w:t>
      </w:r>
      <w:r>
        <w:rPr>
          <w:spacing w:val="30"/>
          <w:sz w:val="24"/>
        </w:rPr>
        <w:t> </w:t>
      </w:r>
      <w:r>
        <w:rPr>
          <w:sz w:val="24"/>
        </w:rPr>
        <w:t>escalation</w:t>
      </w:r>
      <w:r>
        <w:rPr>
          <w:spacing w:val="29"/>
          <w:sz w:val="24"/>
        </w:rPr>
        <w:t> </w:t>
      </w:r>
      <w:r>
        <w:rPr>
          <w:spacing w:val="-2"/>
          <w:sz w:val="24"/>
        </w:rPr>
        <w:t>decisions</w:t>
      </w:r>
    </w:p>
    <w:p>
      <w:pPr>
        <w:pStyle w:val="ListParagraph"/>
        <w:numPr>
          <w:ilvl w:val="0"/>
          <w:numId w:val="2"/>
        </w:numPr>
        <w:tabs>
          <w:tab w:pos="1799" w:val="left" w:leader="none"/>
        </w:tabs>
        <w:spacing w:line="240" w:lineRule="auto" w:before="1" w:after="0"/>
        <w:ind w:left="1799" w:right="0" w:hanging="360"/>
        <w:jc w:val="left"/>
        <w:rPr>
          <w:rFonts w:ascii="Symbol" w:hAnsi="Symbol"/>
          <w:sz w:val="24"/>
        </w:rPr>
      </w:pPr>
      <w:r>
        <w:rPr>
          <w:spacing w:val="-2"/>
          <w:w w:val="105"/>
          <w:sz w:val="24"/>
        </w:rPr>
        <w:t>Return-to-school/work</w:t>
      </w:r>
      <w:r>
        <w:rPr>
          <w:spacing w:val="22"/>
          <w:w w:val="105"/>
          <w:sz w:val="24"/>
        </w:rPr>
        <w:t> </w:t>
      </w:r>
      <w:r>
        <w:rPr>
          <w:spacing w:val="-2"/>
          <w:w w:val="105"/>
          <w:sz w:val="24"/>
        </w:rPr>
        <w:t>recommendations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Follow-up</w:t>
      </w:r>
      <w:r>
        <w:rPr>
          <w:spacing w:val="-3"/>
          <w:w w:val="105"/>
          <w:sz w:val="24"/>
        </w:rPr>
        <w:t> </w:t>
      </w:r>
      <w:r>
        <w:rPr>
          <w:w w:val="105"/>
          <w:sz w:val="24"/>
        </w:rPr>
        <w:t>testing</w:t>
      </w:r>
      <w:r>
        <w:rPr>
          <w:spacing w:val="-6"/>
          <w:w w:val="105"/>
          <w:sz w:val="24"/>
        </w:rPr>
        <w:t> </w:t>
      </w:r>
      <w:r>
        <w:rPr>
          <w:w w:val="105"/>
          <w:sz w:val="24"/>
        </w:rPr>
        <w:t>and</w:t>
      </w:r>
      <w:r>
        <w:rPr>
          <w:spacing w:val="-1"/>
          <w:w w:val="105"/>
          <w:sz w:val="24"/>
        </w:rPr>
        <w:t> </w:t>
      </w:r>
      <w:r>
        <w:rPr>
          <w:w w:val="105"/>
          <w:sz w:val="24"/>
        </w:rPr>
        <w:t>additional</w:t>
      </w:r>
      <w:r>
        <w:rPr>
          <w:spacing w:val="-4"/>
          <w:w w:val="105"/>
          <w:sz w:val="24"/>
        </w:rPr>
        <w:t> </w:t>
      </w:r>
      <w:r>
        <w:rPr>
          <w:w w:val="105"/>
          <w:sz w:val="24"/>
        </w:rPr>
        <w:t>healthcare</w:t>
      </w:r>
      <w:r>
        <w:rPr>
          <w:spacing w:val="-4"/>
          <w:w w:val="105"/>
          <w:sz w:val="24"/>
        </w:rPr>
        <w:t> </w:t>
      </w:r>
      <w:r>
        <w:rPr>
          <w:spacing w:val="-2"/>
          <w:w w:val="105"/>
          <w:sz w:val="24"/>
        </w:rPr>
        <w:t>utilization</w:t>
      </w:r>
    </w:p>
    <w:p>
      <w:pPr>
        <w:pStyle w:val="BodyText"/>
        <w:spacing w:before="292"/>
        <w:ind w:left="1079" w:right="1824"/>
      </w:pPr>
      <w:r>
        <w:rPr>
          <w:w w:val="105"/>
        </w:rPr>
        <w:t>In this patient’s case, the test results directly influenced management by allowing for: </w:t>
      </w:r>
      <w:r>
        <w:rPr>
          <w:color w:val="FF0000"/>
          <w:w w:val="105"/>
        </w:rPr>
        <w:t>Insert specific management impact</w:t>
      </w:r>
      <w:r>
        <w:rPr>
          <w:w w:val="105"/>
        </w:rPr>
        <w:t>. </w:t>
      </w:r>
      <w:r>
        <w:rPr>
          <w:color w:val="FF0000"/>
          <w:w w:val="105"/>
        </w:rPr>
        <w:t>Include the appropriate patient specific management impact(s) and delete the others: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Initiation</w:t>
      </w:r>
      <w:r>
        <w:rPr>
          <w:spacing w:val="11"/>
          <w:sz w:val="24"/>
        </w:rPr>
        <w:t> </w:t>
      </w:r>
      <w:r>
        <w:rPr>
          <w:sz w:val="24"/>
        </w:rPr>
        <w:t>of</w:t>
      </w:r>
      <w:r>
        <w:rPr>
          <w:spacing w:val="12"/>
          <w:sz w:val="24"/>
        </w:rPr>
        <w:t> </w:t>
      </w:r>
      <w:r>
        <w:rPr>
          <w:sz w:val="24"/>
        </w:rPr>
        <w:t>targeted</w:t>
      </w:r>
      <w:r>
        <w:rPr>
          <w:spacing w:val="12"/>
          <w:sz w:val="24"/>
        </w:rPr>
        <w:t> </w:t>
      </w:r>
      <w:r>
        <w:rPr>
          <w:sz w:val="24"/>
        </w:rPr>
        <w:t>antiviral</w:t>
      </w:r>
      <w:r>
        <w:rPr>
          <w:spacing w:val="16"/>
          <w:sz w:val="24"/>
        </w:rPr>
        <w:t> </w:t>
      </w:r>
      <w:r>
        <w:rPr>
          <w:spacing w:val="-2"/>
          <w:sz w:val="24"/>
        </w:rPr>
        <w:t>therapy</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Avoidance</w:t>
      </w:r>
      <w:r>
        <w:rPr>
          <w:spacing w:val="5"/>
          <w:w w:val="105"/>
          <w:sz w:val="24"/>
        </w:rPr>
        <w:t> </w:t>
      </w:r>
      <w:r>
        <w:rPr>
          <w:w w:val="105"/>
          <w:sz w:val="24"/>
        </w:rPr>
        <w:t>of</w:t>
      </w:r>
      <w:r>
        <w:rPr>
          <w:spacing w:val="5"/>
          <w:w w:val="105"/>
          <w:sz w:val="24"/>
        </w:rPr>
        <w:t> </w:t>
      </w:r>
      <w:r>
        <w:rPr>
          <w:w w:val="105"/>
          <w:sz w:val="24"/>
        </w:rPr>
        <w:t>unnecessary</w:t>
      </w:r>
      <w:r>
        <w:rPr>
          <w:spacing w:val="4"/>
          <w:w w:val="105"/>
          <w:sz w:val="24"/>
        </w:rPr>
        <w:t> </w:t>
      </w:r>
      <w:r>
        <w:rPr>
          <w:w w:val="105"/>
          <w:sz w:val="24"/>
        </w:rPr>
        <w:t>empiric</w:t>
      </w:r>
      <w:r>
        <w:rPr>
          <w:spacing w:val="6"/>
          <w:w w:val="105"/>
          <w:sz w:val="24"/>
        </w:rPr>
        <w:t> </w:t>
      </w:r>
      <w:r>
        <w:rPr>
          <w:spacing w:val="-2"/>
          <w:w w:val="105"/>
          <w:sz w:val="24"/>
        </w:rPr>
        <w:t>antibiotics</w:t>
      </w:r>
    </w:p>
    <w:p>
      <w:pPr>
        <w:pStyle w:val="ListParagraph"/>
        <w:numPr>
          <w:ilvl w:val="0"/>
          <w:numId w:val="2"/>
        </w:numPr>
        <w:tabs>
          <w:tab w:pos="1799" w:val="left" w:leader="none"/>
        </w:tabs>
        <w:spacing w:line="240" w:lineRule="auto" w:before="1" w:after="0"/>
        <w:ind w:left="1799" w:right="0" w:hanging="360"/>
        <w:jc w:val="left"/>
        <w:rPr>
          <w:rFonts w:ascii="Symbol" w:hAnsi="Symbol"/>
          <w:sz w:val="24"/>
        </w:rPr>
      </w:pPr>
      <w:r>
        <w:rPr>
          <w:w w:val="105"/>
          <w:sz w:val="24"/>
        </w:rPr>
        <w:t>Appropriate</w:t>
      </w:r>
      <w:r>
        <w:rPr>
          <w:spacing w:val="-14"/>
          <w:w w:val="105"/>
          <w:sz w:val="24"/>
        </w:rPr>
        <w:t> </w:t>
      </w:r>
      <w:r>
        <w:rPr>
          <w:w w:val="105"/>
          <w:sz w:val="24"/>
        </w:rPr>
        <w:t>isolation</w:t>
      </w:r>
      <w:r>
        <w:rPr>
          <w:spacing w:val="-14"/>
          <w:w w:val="105"/>
          <w:sz w:val="24"/>
        </w:rPr>
        <w:t> </w:t>
      </w:r>
      <w:r>
        <w:rPr>
          <w:w w:val="105"/>
          <w:sz w:val="24"/>
        </w:rPr>
        <w:t>or</w:t>
      </w:r>
      <w:r>
        <w:rPr>
          <w:spacing w:val="-13"/>
          <w:w w:val="105"/>
          <w:sz w:val="24"/>
        </w:rPr>
        <w:t> </w:t>
      </w:r>
      <w:r>
        <w:rPr>
          <w:w w:val="105"/>
          <w:sz w:val="24"/>
        </w:rPr>
        <w:t>infection-control</w:t>
      </w:r>
      <w:r>
        <w:rPr>
          <w:spacing w:val="-11"/>
          <w:w w:val="105"/>
          <w:sz w:val="24"/>
        </w:rPr>
        <w:t> </w:t>
      </w:r>
      <w:r>
        <w:rPr>
          <w:spacing w:val="-2"/>
          <w:w w:val="105"/>
          <w:sz w:val="24"/>
        </w:rPr>
        <w:t>measures</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pacing w:val="2"/>
          <w:sz w:val="24"/>
        </w:rPr>
        <w:t>Escalation</w:t>
      </w:r>
      <w:r>
        <w:rPr>
          <w:spacing w:val="31"/>
          <w:sz w:val="24"/>
        </w:rPr>
        <w:t> </w:t>
      </w:r>
      <w:r>
        <w:rPr>
          <w:spacing w:val="2"/>
          <w:sz w:val="24"/>
        </w:rPr>
        <w:t>of</w:t>
      </w:r>
      <w:r>
        <w:rPr>
          <w:spacing w:val="31"/>
          <w:sz w:val="24"/>
        </w:rPr>
        <w:t> </w:t>
      </w:r>
      <w:r>
        <w:rPr>
          <w:spacing w:val="-4"/>
          <w:sz w:val="24"/>
        </w:rPr>
        <w:t>care</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pacing w:val="2"/>
          <w:sz w:val="24"/>
        </w:rPr>
        <w:t>De-escalation</w:t>
      </w:r>
      <w:r>
        <w:rPr>
          <w:spacing w:val="36"/>
          <w:sz w:val="24"/>
        </w:rPr>
        <w:t> </w:t>
      </w:r>
      <w:r>
        <w:rPr>
          <w:spacing w:val="2"/>
          <w:sz w:val="24"/>
        </w:rPr>
        <w:t>of</w:t>
      </w:r>
      <w:r>
        <w:rPr>
          <w:spacing w:val="37"/>
          <w:sz w:val="24"/>
        </w:rPr>
        <w:t> </w:t>
      </w:r>
      <w:r>
        <w:rPr>
          <w:spacing w:val="-4"/>
          <w:sz w:val="24"/>
        </w:rPr>
        <w:t>care</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Avoidance</w:t>
      </w:r>
      <w:r>
        <w:rPr>
          <w:spacing w:val="6"/>
          <w:w w:val="105"/>
          <w:sz w:val="24"/>
        </w:rPr>
        <w:t> </w:t>
      </w:r>
      <w:r>
        <w:rPr>
          <w:w w:val="105"/>
          <w:sz w:val="24"/>
        </w:rPr>
        <w:t>of</w:t>
      </w:r>
      <w:r>
        <w:rPr>
          <w:spacing w:val="5"/>
          <w:w w:val="105"/>
          <w:sz w:val="24"/>
        </w:rPr>
        <w:t> </w:t>
      </w:r>
      <w:r>
        <w:rPr>
          <w:w w:val="105"/>
          <w:sz w:val="24"/>
        </w:rPr>
        <w:t>unnecessary</w:t>
      </w:r>
      <w:r>
        <w:rPr>
          <w:spacing w:val="4"/>
          <w:w w:val="105"/>
          <w:sz w:val="24"/>
        </w:rPr>
        <w:t> </w:t>
      </w:r>
      <w:r>
        <w:rPr>
          <w:w w:val="105"/>
          <w:sz w:val="24"/>
        </w:rPr>
        <w:t>downstream</w:t>
      </w:r>
      <w:r>
        <w:rPr>
          <w:spacing w:val="5"/>
          <w:w w:val="105"/>
          <w:sz w:val="24"/>
        </w:rPr>
        <w:t> </w:t>
      </w:r>
      <w:r>
        <w:rPr>
          <w:w w:val="105"/>
          <w:sz w:val="24"/>
        </w:rPr>
        <w:t>diagnostic</w:t>
      </w:r>
      <w:r>
        <w:rPr>
          <w:spacing w:val="6"/>
          <w:w w:val="105"/>
          <w:sz w:val="24"/>
        </w:rPr>
        <w:t> </w:t>
      </w:r>
      <w:r>
        <w:rPr>
          <w:spacing w:val="-2"/>
          <w:w w:val="105"/>
          <w:sz w:val="24"/>
        </w:rPr>
        <w:t>testing</w:t>
      </w:r>
    </w:p>
    <w:p>
      <w:pPr>
        <w:pStyle w:val="ListParagraph"/>
        <w:numPr>
          <w:ilvl w:val="0"/>
          <w:numId w:val="2"/>
        </w:numPr>
        <w:tabs>
          <w:tab w:pos="1799" w:val="left" w:leader="none"/>
        </w:tabs>
        <w:spacing w:line="240" w:lineRule="auto" w:before="1" w:after="0"/>
        <w:ind w:left="1799" w:right="0" w:hanging="360"/>
        <w:jc w:val="left"/>
        <w:rPr>
          <w:rFonts w:ascii="Symbol" w:hAnsi="Symbol"/>
          <w:sz w:val="24"/>
        </w:rPr>
      </w:pPr>
      <w:r>
        <w:rPr>
          <w:sz w:val="24"/>
        </w:rPr>
        <w:t>Appropriate</w:t>
      </w:r>
      <w:r>
        <w:rPr>
          <w:spacing w:val="24"/>
          <w:sz w:val="24"/>
        </w:rPr>
        <w:t> </w:t>
      </w:r>
      <w:r>
        <w:rPr>
          <w:sz w:val="24"/>
        </w:rPr>
        <w:t>follow-up</w:t>
      </w:r>
      <w:r>
        <w:rPr>
          <w:spacing w:val="26"/>
          <w:sz w:val="24"/>
        </w:rPr>
        <w:t> </w:t>
      </w:r>
      <w:r>
        <w:rPr>
          <w:sz w:val="24"/>
        </w:rPr>
        <w:t>and</w:t>
      </w:r>
      <w:r>
        <w:rPr>
          <w:spacing w:val="23"/>
          <w:sz w:val="24"/>
        </w:rPr>
        <w:t> </w:t>
      </w:r>
      <w:r>
        <w:rPr>
          <w:sz w:val="24"/>
        </w:rPr>
        <w:t>monitoring</w:t>
      </w:r>
      <w:r>
        <w:rPr>
          <w:spacing w:val="26"/>
          <w:sz w:val="24"/>
        </w:rPr>
        <w:t> </w:t>
      </w:r>
      <w:r>
        <w:rPr>
          <w:spacing w:val="-2"/>
          <w:sz w:val="24"/>
        </w:rPr>
        <w:t>decisions</w:t>
      </w:r>
    </w:p>
    <w:p>
      <w:pPr>
        <w:pStyle w:val="BodyText"/>
        <w:spacing w:before="180"/>
        <w:ind w:left="1079" w:right="1089"/>
      </w:pPr>
      <w:r>
        <w:rPr>
          <w:w w:val="105"/>
        </w:rPr>
        <w:t>The</w:t>
      </w:r>
      <w:r>
        <w:rPr>
          <w:spacing w:val="-8"/>
          <w:w w:val="105"/>
        </w:rPr>
        <w:t> </w:t>
      </w:r>
      <w:r>
        <w:rPr>
          <w:w w:val="105"/>
        </w:rPr>
        <w:t>rapid</w:t>
      </w:r>
      <w:r>
        <w:rPr>
          <w:spacing w:val="-9"/>
          <w:w w:val="105"/>
        </w:rPr>
        <w:t> </w:t>
      </w:r>
      <w:r>
        <w:rPr>
          <w:w w:val="105"/>
        </w:rPr>
        <w:t>turnaround</w:t>
      </w:r>
      <w:r>
        <w:rPr>
          <w:spacing w:val="-9"/>
          <w:w w:val="105"/>
        </w:rPr>
        <w:t> </w:t>
      </w:r>
      <w:r>
        <w:rPr>
          <w:w w:val="105"/>
        </w:rPr>
        <w:t>time</w:t>
      </w:r>
      <w:r>
        <w:rPr>
          <w:spacing w:val="-8"/>
          <w:w w:val="105"/>
        </w:rPr>
        <w:t> </w:t>
      </w:r>
      <w:r>
        <w:rPr>
          <w:w w:val="105"/>
        </w:rPr>
        <w:t>of</w:t>
      </w:r>
      <w:r>
        <w:rPr>
          <w:spacing w:val="-9"/>
          <w:w w:val="105"/>
        </w:rPr>
        <w:t> </w:t>
      </w:r>
      <w:r>
        <w:rPr>
          <w:w w:val="105"/>
        </w:rPr>
        <w:t>the</w:t>
      </w:r>
      <w:r>
        <w:rPr>
          <w:spacing w:val="-8"/>
          <w:w w:val="105"/>
        </w:rPr>
        <w:t> </w:t>
      </w:r>
      <w:r>
        <w:rPr>
          <w:w w:val="105"/>
        </w:rPr>
        <w:t>Respiratory</w:t>
      </w:r>
      <w:r>
        <w:rPr>
          <w:spacing w:val="-7"/>
          <w:w w:val="105"/>
        </w:rPr>
        <w:t> </w:t>
      </w:r>
      <w:r>
        <w:rPr>
          <w:w w:val="105"/>
        </w:rPr>
        <w:t>menu</w:t>
      </w:r>
      <w:r>
        <w:rPr>
          <w:spacing w:val="-8"/>
          <w:w w:val="105"/>
        </w:rPr>
        <w:t> </w:t>
      </w:r>
      <w:r>
        <w:rPr>
          <w:w w:val="105"/>
        </w:rPr>
        <w:t>of</w:t>
      </w:r>
      <w:r>
        <w:rPr>
          <w:spacing w:val="-9"/>
          <w:w w:val="105"/>
        </w:rPr>
        <w:t> </w:t>
      </w:r>
      <w:r>
        <w:rPr>
          <w:w w:val="105"/>
        </w:rPr>
        <w:t>the</w:t>
      </w:r>
      <w:r>
        <w:rPr>
          <w:spacing w:val="-8"/>
          <w:w w:val="105"/>
        </w:rPr>
        <w:t> </w:t>
      </w:r>
      <w:r>
        <w:rPr>
          <w:w w:val="105"/>
        </w:rPr>
        <w:t>SPOTFIRE</w:t>
      </w:r>
      <w:r>
        <w:rPr>
          <w:spacing w:val="-5"/>
          <w:w w:val="105"/>
        </w:rPr>
        <w:t> </w:t>
      </w:r>
      <w:r>
        <w:rPr>
          <w:w w:val="105"/>
        </w:rPr>
        <w:t>Respiratory/Sore</w:t>
      </w:r>
      <w:r>
        <w:rPr>
          <w:spacing w:val="-8"/>
          <w:w w:val="105"/>
        </w:rPr>
        <w:t> </w:t>
      </w:r>
      <w:r>
        <w:rPr>
          <w:w w:val="105"/>
        </w:rPr>
        <w:t>Throat</w:t>
      </w:r>
      <w:r>
        <w:rPr>
          <w:spacing w:val="-10"/>
          <w:w w:val="105"/>
        </w:rPr>
        <w:t> </w:t>
      </w:r>
      <w:r>
        <w:rPr>
          <w:w w:val="105"/>
        </w:rPr>
        <w:t>Panel Mini allowed actionable diagnostic information to be available during the patient encounter,</w:t>
      </w:r>
      <w:r>
        <w:rPr>
          <w:w w:val="105"/>
        </w:rPr>
        <w:t> which is critical because delayed respiratory testing often limits clinical utility and treatment </w:t>
      </w:r>
      <w:r>
        <w:rPr>
          <w:spacing w:val="-2"/>
          <w:w w:val="105"/>
        </w:rPr>
        <w:t>opportunities.</w:t>
      </w:r>
    </w:p>
    <w:p>
      <w:pPr>
        <w:pStyle w:val="BodyText"/>
        <w:spacing w:before="242"/>
        <w:ind w:left="1079" w:right="1277"/>
      </w:pPr>
      <w:r>
        <w:rPr>
          <w:w w:val="105"/>
        </w:rPr>
        <w:t>The SPOTFIRE Respiratory/Sore Throat Panel Mini is an FDA-cleared, CLIA-waived multiplex molecular diagnostic assay designed to rapidly identify clinically actionable respiratory pathogens with high analytical accuracy.</w:t>
      </w:r>
    </w:p>
    <w:p>
      <w:pPr>
        <w:pStyle w:val="BodyText"/>
        <w:spacing w:before="239"/>
        <w:ind w:left="1079" w:right="1089"/>
      </w:pPr>
      <w:r>
        <w:rPr>
          <w:w w:val="105"/>
        </w:rPr>
        <w:t>Published literature demonstrates strong clinical validity and clinical utility for multiplex respiratory molecular testing, including improvements in:</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Time-to-</w:t>
      </w:r>
      <w:r>
        <w:rPr>
          <w:spacing w:val="-2"/>
          <w:sz w:val="24"/>
        </w:rPr>
        <w:t>diagnosis</w:t>
      </w:r>
    </w:p>
    <w:p>
      <w:pPr>
        <w:pStyle w:val="ListParagraph"/>
        <w:numPr>
          <w:ilvl w:val="0"/>
          <w:numId w:val="2"/>
        </w:numPr>
        <w:tabs>
          <w:tab w:pos="1799" w:val="left" w:leader="none"/>
        </w:tabs>
        <w:spacing w:line="240" w:lineRule="auto" w:before="2" w:after="0"/>
        <w:ind w:left="1799" w:right="0" w:hanging="360"/>
        <w:jc w:val="left"/>
        <w:rPr>
          <w:rFonts w:ascii="Symbol" w:hAnsi="Symbol"/>
          <w:sz w:val="24"/>
        </w:rPr>
      </w:pPr>
      <w:r>
        <w:rPr>
          <w:w w:val="105"/>
          <w:sz w:val="24"/>
        </w:rPr>
        <w:t>Antimicrobial</w:t>
      </w:r>
      <w:r>
        <w:rPr>
          <w:spacing w:val="-10"/>
          <w:w w:val="105"/>
          <w:sz w:val="24"/>
        </w:rPr>
        <w:t> </w:t>
      </w:r>
      <w:r>
        <w:rPr>
          <w:spacing w:val="-2"/>
          <w:w w:val="105"/>
          <w:sz w:val="24"/>
        </w:rPr>
        <w:t>stewardship</w:t>
      </w:r>
    </w:p>
    <w:p>
      <w:pPr>
        <w:pStyle w:val="ListParagraph"/>
        <w:numPr>
          <w:ilvl w:val="0"/>
          <w:numId w:val="2"/>
        </w:numPr>
        <w:tabs>
          <w:tab w:pos="1799" w:val="left" w:leader="none"/>
        </w:tabs>
        <w:spacing w:line="240" w:lineRule="auto" w:before="3" w:after="0"/>
        <w:ind w:left="1799" w:right="0" w:hanging="360"/>
        <w:jc w:val="left"/>
        <w:rPr>
          <w:rFonts w:ascii="Symbol" w:hAnsi="Symbol"/>
          <w:sz w:val="24"/>
        </w:rPr>
      </w:pPr>
      <w:r>
        <w:rPr>
          <w:w w:val="110"/>
          <w:sz w:val="24"/>
        </w:rPr>
        <w:t>Clinical</w:t>
      </w:r>
      <w:r>
        <w:rPr>
          <w:spacing w:val="4"/>
          <w:w w:val="110"/>
          <w:sz w:val="24"/>
        </w:rPr>
        <w:t> </w:t>
      </w:r>
      <w:r>
        <w:rPr>
          <w:w w:val="110"/>
          <w:sz w:val="24"/>
        </w:rPr>
        <w:t>decision-</w:t>
      </w:r>
      <w:r>
        <w:rPr>
          <w:spacing w:val="-2"/>
          <w:w w:val="110"/>
          <w:sz w:val="24"/>
        </w:rPr>
        <w:t>making</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sz w:val="24"/>
        </w:rPr>
        <w:t>Targeted</w:t>
      </w:r>
      <w:r>
        <w:rPr>
          <w:spacing w:val="11"/>
          <w:sz w:val="24"/>
        </w:rPr>
        <w:t> </w:t>
      </w:r>
      <w:r>
        <w:rPr>
          <w:sz w:val="24"/>
        </w:rPr>
        <w:t>therapy</w:t>
      </w:r>
      <w:r>
        <w:rPr>
          <w:spacing w:val="12"/>
          <w:sz w:val="24"/>
        </w:rPr>
        <w:t> </w:t>
      </w:r>
      <w:r>
        <w:rPr>
          <w:spacing w:val="-2"/>
          <w:sz w:val="24"/>
        </w:rPr>
        <w:t>utilization</w:t>
      </w:r>
    </w:p>
    <w:p>
      <w:pPr>
        <w:pStyle w:val="ListParagraph"/>
        <w:numPr>
          <w:ilvl w:val="0"/>
          <w:numId w:val="2"/>
        </w:numPr>
        <w:tabs>
          <w:tab w:pos="1799" w:val="left" w:leader="none"/>
        </w:tabs>
        <w:spacing w:line="240" w:lineRule="auto" w:before="2" w:after="0"/>
        <w:ind w:left="1799" w:right="0" w:hanging="360"/>
        <w:jc w:val="left"/>
        <w:rPr>
          <w:rFonts w:ascii="Symbol" w:hAnsi="Symbol"/>
          <w:sz w:val="24"/>
        </w:rPr>
      </w:pPr>
      <w:r>
        <w:rPr>
          <w:w w:val="105"/>
          <w:sz w:val="24"/>
        </w:rPr>
        <w:t>Reduction</w:t>
      </w:r>
      <w:r>
        <w:rPr>
          <w:spacing w:val="5"/>
          <w:w w:val="105"/>
          <w:sz w:val="24"/>
        </w:rPr>
        <w:t> </w:t>
      </w:r>
      <w:r>
        <w:rPr>
          <w:w w:val="105"/>
          <w:sz w:val="24"/>
        </w:rPr>
        <w:t>in</w:t>
      </w:r>
      <w:r>
        <w:rPr>
          <w:spacing w:val="5"/>
          <w:w w:val="105"/>
          <w:sz w:val="24"/>
        </w:rPr>
        <w:t> </w:t>
      </w:r>
      <w:r>
        <w:rPr>
          <w:w w:val="105"/>
          <w:sz w:val="24"/>
        </w:rPr>
        <w:t>unnecessary</w:t>
      </w:r>
      <w:r>
        <w:rPr>
          <w:spacing w:val="5"/>
          <w:w w:val="105"/>
          <w:sz w:val="24"/>
        </w:rPr>
        <w:t> </w:t>
      </w:r>
      <w:r>
        <w:rPr>
          <w:w w:val="105"/>
          <w:sz w:val="24"/>
        </w:rPr>
        <w:t>antibiotic</w:t>
      </w:r>
      <w:r>
        <w:rPr>
          <w:spacing w:val="7"/>
          <w:w w:val="105"/>
          <w:sz w:val="24"/>
        </w:rPr>
        <w:t> </w:t>
      </w:r>
      <w:r>
        <w:rPr>
          <w:spacing w:val="-2"/>
          <w:w w:val="105"/>
          <w:sz w:val="24"/>
        </w:rPr>
        <w:t>prescribing</w:t>
      </w:r>
    </w:p>
    <w:p>
      <w:pPr>
        <w:pStyle w:val="ListParagraph"/>
        <w:numPr>
          <w:ilvl w:val="0"/>
          <w:numId w:val="2"/>
        </w:numPr>
        <w:tabs>
          <w:tab w:pos="1799" w:val="left" w:leader="none"/>
        </w:tabs>
        <w:spacing w:line="240" w:lineRule="auto" w:before="4" w:after="0"/>
        <w:ind w:left="1799" w:right="0" w:hanging="360"/>
        <w:jc w:val="left"/>
        <w:rPr>
          <w:rFonts w:ascii="Symbol" w:hAnsi="Symbol"/>
          <w:sz w:val="24"/>
        </w:rPr>
      </w:pPr>
      <w:r>
        <w:rPr>
          <w:w w:val="105"/>
          <w:sz w:val="24"/>
        </w:rPr>
        <w:t>Healthcare</w:t>
      </w:r>
      <w:r>
        <w:rPr>
          <w:spacing w:val="12"/>
          <w:w w:val="105"/>
          <w:sz w:val="24"/>
        </w:rPr>
        <w:t> </w:t>
      </w:r>
      <w:r>
        <w:rPr>
          <w:w w:val="105"/>
          <w:sz w:val="24"/>
        </w:rPr>
        <w:t>resource</w:t>
      </w:r>
      <w:r>
        <w:rPr>
          <w:spacing w:val="13"/>
          <w:w w:val="105"/>
          <w:sz w:val="24"/>
        </w:rPr>
        <w:t> </w:t>
      </w:r>
      <w:r>
        <w:rPr>
          <w:spacing w:val="-2"/>
          <w:w w:val="105"/>
          <w:sz w:val="24"/>
        </w:rPr>
        <w:t>utilization</w:t>
      </w:r>
    </w:p>
    <w:p>
      <w:pPr>
        <w:pStyle w:val="ListParagraph"/>
        <w:spacing w:after="0" w:line="240" w:lineRule="auto"/>
        <w:jc w:val="left"/>
        <w:rPr>
          <w:rFonts w:ascii="Symbol" w:hAnsi="Symbol"/>
          <w:sz w:val="24"/>
        </w:rPr>
        <w:sectPr>
          <w:pgSz w:w="12240" w:h="15840"/>
          <w:pgMar w:top="1360" w:bottom="280" w:left="0" w:right="0"/>
        </w:sectPr>
      </w:pPr>
    </w:p>
    <w:p>
      <w:pPr>
        <w:pStyle w:val="BodyText"/>
        <w:spacing w:before="77"/>
        <w:ind w:left="1080" w:right="1089"/>
      </w:pPr>
      <w:r>
        <w:rPr>
          <w:w w:val="105"/>
        </w:rPr>
        <w:t>Evidence further supports that rapid multiplex molecular respiratory testing improves patient management</w:t>
      </w:r>
      <w:r>
        <w:rPr>
          <w:spacing w:val="-3"/>
          <w:w w:val="105"/>
        </w:rPr>
        <w:t> </w:t>
      </w:r>
      <w:r>
        <w:rPr>
          <w:w w:val="105"/>
        </w:rPr>
        <w:t>and</w:t>
      </w:r>
      <w:r>
        <w:rPr>
          <w:spacing w:val="-5"/>
          <w:w w:val="105"/>
        </w:rPr>
        <w:t> </w:t>
      </w:r>
      <w:r>
        <w:rPr>
          <w:w w:val="105"/>
        </w:rPr>
        <w:t>operational</w:t>
      </w:r>
      <w:r>
        <w:rPr>
          <w:spacing w:val="-5"/>
          <w:w w:val="105"/>
        </w:rPr>
        <w:t> </w:t>
      </w:r>
      <w:r>
        <w:rPr>
          <w:w w:val="105"/>
        </w:rPr>
        <w:t>efficiency</w:t>
      </w:r>
      <w:r>
        <w:rPr>
          <w:spacing w:val="-5"/>
          <w:w w:val="105"/>
        </w:rPr>
        <w:t> </w:t>
      </w:r>
      <w:r>
        <w:rPr>
          <w:w w:val="105"/>
        </w:rPr>
        <w:t>in</w:t>
      </w:r>
      <w:r>
        <w:rPr>
          <w:spacing w:val="-5"/>
          <w:w w:val="105"/>
        </w:rPr>
        <w:t> </w:t>
      </w:r>
      <w:r>
        <w:rPr>
          <w:w w:val="105"/>
        </w:rPr>
        <w:t>outpatient,</w:t>
      </w:r>
      <w:r>
        <w:rPr>
          <w:spacing w:val="-4"/>
          <w:w w:val="105"/>
        </w:rPr>
        <w:t> </w:t>
      </w:r>
      <w:r>
        <w:rPr>
          <w:w w:val="105"/>
        </w:rPr>
        <w:t>urgent</w:t>
      </w:r>
      <w:r>
        <w:rPr>
          <w:spacing w:val="-3"/>
          <w:w w:val="105"/>
        </w:rPr>
        <w:t> </w:t>
      </w:r>
      <w:r>
        <w:rPr>
          <w:w w:val="105"/>
        </w:rPr>
        <w:t>care,</w:t>
      </w:r>
      <w:r>
        <w:rPr>
          <w:spacing w:val="-4"/>
          <w:w w:val="105"/>
        </w:rPr>
        <w:t> </w:t>
      </w:r>
      <w:r>
        <w:rPr>
          <w:w w:val="105"/>
        </w:rPr>
        <w:t>and</w:t>
      </w:r>
      <w:r>
        <w:rPr>
          <w:spacing w:val="-5"/>
          <w:w w:val="105"/>
        </w:rPr>
        <w:t> </w:t>
      </w:r>
      <w:r>
        <w:rPr>
          <w:w w:val="105"/>
        </w:rPr>
        <w:t>emergency</w:t>
      </w:r>
      <w:r>
        <w:rPr>
          <w:spacing w:val="-5"/>
          <w:w w:val="105"/>
        </w:rPr>
        <w:t> </w:t>
      </w:r>
      <w:r>
        <w:rPr>
          <w:w w:val="105"/>
        </w:rPr>
        <w:t>department </w:t>
      </w:r>
      <w:r>
        <w:rPr>
          <w:spacing w:val="-2"/>
          <w:w w:val="105"/>
        </w:rPr>
        <w:t>settings.</w:t>
      </w:r>
    </w:p>
    <w:p>
      <w:pPr>
        <w:pStyle w:val="BodyText"/>
        <w:spacing w:before="239"/>
        <w:ind w:left="1080" w:right="1101"/>
      </w:pPr>
      <w:r>
        <w:rPr>
          <w:w w:val="105"/>
        </w:rPr>
        <w:t>A 2024 systematic literature review by Mojebi et al.</w:t>
      </w:r>
      <w:hyperlink w:history="true" w:anchor="_bookmark0">
        <w:r>
          <w:rPr>
            <w:w w:val="105"/>
            <w:position w:val="8"/>
            <w:sz w:val="14"/>
          </w:rPr>
          <w:t>1</w:t>
        </w:r>
      </w:hyperlink>
      <w:r>
        <w:rPr>
          <w:spacing w:val="32"/>
          <w:w w:val="105"/>
          <w:position w:val="8"/>
          <w:sz w:val="14"/>
        </w:rPr>
        <w:t> </w:t>
      </w:r>
      <w:r>
        <w:rPr>
          <w:w w:val="105"/>
        </w:rPr>
        <w:t>demonstrated meaningful clinical impact associated with rapid molecular respiratory diagnostics in patients presenting with viral respiratory symptoms, including improvements in treatment decisions, antimicrobial</w:t>
      </w:r>
      <w:r>
        <w:rPr>
          <w:spacing w:val="80"/>
          <w:w w:val="105"/>
        </w:rPr>
        <w:t> </w:t>
      </w:r>
      <w:r>
        <w:rPr>
          <w:w w:val="105"/>
        </w:rPr>
        <w:t>stewardship, and healthcare utilization. Similarly, Clark et al.</w:t>
      </w:r>
      <w:hyperlink w:history="true" w:anchor="_bookmark1">
        <w:r>
          <w:rPr>
            <w:w w:val="105"/>
            <w:position w:val="8"/>
            <w:sz w:val="14"/>
          </w:rPr>
          <w:t>2</w:t>
        </w:r>
      </w:hyperlink>
      <w:r>
        <w:rPr>
          <w:spacing w:val="31"/>
          <w:w w:val="105"/>
          <w:position w:val="8"/>
          <w:sz w:val="14"/>
        </w:rPr>
        <w:t> </w:t>
      </w:r>
      <w:r>
        <w:rPr>
          <w:w w:val="105"/>
        </w:rPr>
        <w:t>conducted a systematic review and meta-analysis demonstrating that rapid multiplex PCR testing significantly reduced time-to-result and was associated with improvements in clinical care metrics, including earlier initiation of appropriate therapy, reduced length of stay, and more targeted antimicrobial use, primarily among hospitalized patients, with several studies also including emergency department populations. These findings support the broader clinical value of rapid multiplex molecular diagnostics across the continuum of respiratory care while recognizing that outpatient and point-of-care settings may realize additional benefits through immediate access to actionable</w:t>
      </w:r>
      <w:r>
        <w:rPr>
          <w:spacing w:val="80"/>
          <w:w w:val="105"/>
        </w:rPr>
        <w:t> </w:t>
      </w:r>
      <w:r>
        <w:rPr>
          <w:w w:val="105"/>
        </w:rPr>
        <w:t>diagnostic</w:t>
      </w:r>
      <w:r>
        <w:rPr>
          <w:spacing w:val="-1"/>
          <w:w w:val="105"/>
        </w:rPr>
        <w:t> </w:t>
      </w:r>
      <w:r>
        <w:rPr>
          <w:w w:val="105"/>
        </w:rPr>
        <w:t>information.</w:t>
      </w:r>
    </w:p>
    <w:p>
      <w:pPr>
        <w:pStyle w:val="BodyText"/>
        <w:spacing w:before="241"/>
        <w:ind w:left="1079" w:right="1146"/>
      </w:pPr>
      <w:r>
        <w:rPr>
          <w:w w:val="105"/>
        </w:rPr>
        <w:t>Current infectious disease diagnostic stewardship guidance from the Infectious Diseases Society of</w:t>
      </w:r>
      <w:r>
        <w:rPr>
          <w:spacing w:val="-5"/>
          <w:w w:val="105"/>
        </w:rPr>
        <w:t> </w:t>
      </w:r>
      <w:r>
        <w:rPr>
          <w:w w:val="105"/>
        </w:rPr>
        <w:t>America</w:t>
      </w:r>
      <w:r>
        <w:rPr>
          <w:spacing w:val="-5"/>
          <w:w w:val="105"/>
        </w:rPr>
        <w:t> </w:t>
      </w:r>
      <w:r>
        <w:rPr>
          <w:w w:val="105"/>
        </w:rPr>
        <w:t>(IDSA)</w:t>
      </w:r>
      <w:r>
        <w:rPr>
          <w:spacing w:val="-5"/>
          <w:w w:val="105"/>
        </w:rPr>
        <w:t> </w:t>
      </w:r>
      <w:r>
        <w:rPr>
          <w:w w:val="105"/>
        </w:rPr>
        <w:t>and</w:t>
      </w:r>
      <w:r>
        <w:rPr>
          <w:spacing w:val="-1"/>
          <w:w w:val="105"/>
        </w:rPr>
        <w:t> </w:t>
      </w:r>
      <w:r>
        <w:rPr>
          <w:w w:val="105"/>
        </w:rPr>
        <w:t>American</w:t>
      </w:r>
      <w:r>
        <w:rPr>
          <w:spacing w:val="-5"/>
          <w:w w:val="105"/>
        </w:rPr>
        <w:t> </w:t>
      </w:r>
      <w:r>
        <w:rPr>
          <w:w w:val="105"/>
        </w:rPr>
        <w:t>Society</w:t>
      </w:r>
      <w:r>
        <w:rPr>
          <w:spacing w:val="-5"/>
          <w:w w:val="105"/>
        </w:rPr>
        <w:t> </w:t>
      </w:r>
      <w:r>
        <w:rPr>
          <w:w w:val="105"/>
        </w:rPr>
        <w:t>for</w:t>
      </w:r>
      <w:r>
        <w:rPr>
          <w:spacing w:val="-6"/>
          <w:w w:val="105"/>
        </w:rPr>
        <w:t> </w:t>
      </w:r>
      <w:r>
        <w:rPr>
          <w:w w:val="105"/>
        </w:rPr>
        <w:t>Microbiology</w:t>
      </w:r>
      <w:r>
        <w:rPr>
          <w:spacing w:val="-5"/>
          <w:w w:val="105"/>
        </w:rPr>
        <w:t> </w:t>
      </w:r>
      <w:r>
        <w:rPr>
          <w:w w:val="105"/>
        </w:rPr>
        <w:t>(ASM)</w:t>
      </w:r>
      <w:hyperlink w:history="true" w:anchor="_bookmark2">
        <w:r>
          <w:rPr>
            <w:w w:val="105"/>
            <w:position w:val="8"/>
            <w:sz w:val="14"/>
          </w:rPr>
          <w:t>3</w:t>
        </w:r>
      </w:hyperlink>
      <w:r>
        <w:rPr>
          <w:spacing w:val="18"/>
          <w:w w:val="105"/>
          <w:position w:val="8"/>
          <w:sz w:val="14"/>
        </w:rPr>
        <w:t> </w:t>
      </w:r>
      <w:r>
        <w:rPr>
          <w:w w:val="105"/>
        </w:rPr>
        <w:t>further</w:t>
      </w:r>
      <w:r>
        <w:rPr>
          <w:spacing w:val="-2"/>
          <w:w w:val="105"/>
        </w:rPr>
        <w:t> </w:t>
      </w:r>
      <w:r>
        <w:rPr>
          <w:w w:val="105"/>
        </w:rPr>
        <w:t>supports</w:t>
      </w:r>
      <w:r>
        <w:rPr>
          <w:spacing w:val="-4"/>
          <w:w w:val="105"/>
        </w:rPr>
        <w:t> </w:t>
      </w:r>
      <w:r>
        <w:rPr>
          <w:w w:val="105"/>
        </w:rPr>
        <w:t>appropriate</w:t>
      </w:r>
      <w:r>
        <w:rPr>
          <w:spacing w:val="-4"/>
          <w:w w:val="105"/>
        </w:rPr>
        <w:t> </w:t>
      </w:r>
      <w:r>
        <w:rPr>
          <w:w w:val="105"/>
        </w:rPr>
        <w:t>use of multiplex molecular respiratory diagnostics when results are expected to influence treatment decisions, stewardship efforts, and infection-control management.</w:t>
      </w:r>
    </w:p>
    <w:p>
      <w:pPr>
        <w:pStyle w:val="BodyText"/>
        <w:spacing w:before="239"/>
        <w:ind w:left="1079" w:right="1089"/>
      </w:pPr>
      <w:r>
        <w:rPr>
          <w:w w:val="105"/>
        </w:rPr>
        <w:t>Importantly, this testing was not ordered as broad, indiscriminate screening. Rather, it was ordered</w:t>
      </w:r>
      <w:r>
        <w:rPr>
          <w:spacing w:val="-6"/>
          <w:w w:val="105"/>
        </w:rPr>
        <w:t> </w:t>
      </w:r>
      <w:r>
        <w:rPr>
          <w:w w:val="105"/>
        </w:rPr>
        <w:t>in</w:t>
      </w:r>
      <w:r>
        <w:rPr>
          <w:spacing w:val="-6"/>
          <w:w w:val="105"/>
        </w:rPr>
        <w:t> </w:t>
      </w:r>
      <w:r>
        <w:rPr>
          <w:w w:val="105"/>
        </w:rPr>
        <w:t>a</w:t>
      </w:r>
      <w:r>
        <w:rPr>
          <w:spacing w:val="-4"/>
          <w:w w:val="105"/>
        </w:rPr>
        <w:t> </w:t>
      </w:r>
      <w:r>
        <w:rPr>
          <w:w w:val="105"/>
        </w:rPr>
        <w:t>clinically</w:t>
      </w:r>
      <w:r>
        <w:rPr>
          <w:spacing w:val="-6"/>
          <w:w w:val="105"/>
        </w:rPr>
        <w:t> </w:t>
      </w:r>
      <w:r>
        <w:rPr>
          <w:w w:val="105"/>
        </w:rPr>
        <w:t>appropriate,</w:t>
      </w:r>
      <w:r>
        <w:rPr>
          <w:spacing w:val="-5"/>
          <w:w w:val="105"/>
        </w:rPr>
        <w:t> </w:t>
      </w:r>
      <w:r>
        <w:rPr>
          <w:w w:val="105"/>
        </w:rPr>
        <w:t>risk-stratified</w:t>
      </w:r>
      <w:r>
        <w:rPr>
          <w:spacing w:val="-6"/>
          <w:w w:val="105"/>
        </w:rPr>
        <w:t> </w:t>
      </w:r>
      <w:r>
        <w:rPr>
          <w:w w:val="105"/>
        </w:rPr>
        <w:t>patient</w:t>
      </w:r>
      <w:r>
        <w:rPr>
          <w:spacing w:val="-7"/>
          <w:w w:val="105"/>
        </w:rPr>
        <w:t> </w:t>
      </w:r>
      <w:r>
        <w:rPr>
          <w:w w:val="105"/>
        </w:rPr>
        <w:t>in</w:t>
      </w:r>
      <w:r>
        <w:rPr>
          <w:spacing w:val="-4"/>
          <w:w w:val="105"/>
        </w:rPr>
        <w:t> </w:t>
      </w:r>
      <w:r>
        <w:rPr>
          <w:w w:val="105"/>
        </w:rPr>
        <w:t>whom</w:t>
      </w:r>
      <w:r>
        <w:rPr>
          <w:spacing w:val="-4"/>
          <w:w w:val="105"/>
        </w:rPr>
        <w:t> </w:t>
      </w:r>
      <w:r>
        <w:rPr>
          <w:w w:val="105"/>
        </w:rPr>
        <w:t>the</w:t>
      </w:r>
      <w:r>
        <w:rPr>
          <w:spacing w:val="-3"/>
          <w:w w:val="105"/>
        </w:rPr>
        <w:t> </w:t>
      </w:r>
      <w:r>
        <w:rPr>
          <w:w w:val="105"/>
        </w:rPr>
        <w:t>results</w:t>
      </w:r>
      <w:r>
        <w:rPr>
          <w:spacing w:val="-5"/>
          <w:w w:val="105"/>
        </w:rPr>
        <w:t> </w:t>
      </w:r>
      <w:r>
        <w:rPr>
          <w:w w:val="105"/>
        </w:rPr>
        <w:t>were</w:t>
      </w:r>
      <w:r>
        <w:rPr>
          <w:spacing w:val="-5"/>
          <w:w w:val="105"/>
        </w:rPr>
        <w:t> </w:t>
      </w:r>
      <w:r>
        <w:rPr>
          <w:w w:val="105"/>
        </w:rPr>
        <w:t>expected</w:t>
      </w:r>
      <w:r>
        <w:rPr>
          <w:spacing w:val="-6"/>
          <w:w w:val="105"/>
        </w:rPr>
        <w:t> </w:t>
      </w:r>
      <w:r>
        <w:rPr>
          <w:w w:val="105"/>
        </w:rPr>
        <w:t>to directly alter management decisions.</w:t>
      </w:r>
    </w:p>
    <w:p>
      <w:pPr>
        <w:pStyle w:val="BodyText"/>
        <w:spacing w:before="242"/>
        <w:ind w:left="1079" w:right="1089"/>
      </w:pPr>
      <w:r>
        <w:rPr>
          <w:w w:val="105"/>
        </w:rPr>
        <w:t>This claim utilizes CPT 87631, representing targeted multiplex respiratory testing involving 3–5 respiratory</w:t>
      </w:r>
      <w:r>
        <w:rPr>
          <w:spacing w:val="-3"/>
          <w:w w:val="105"/>
        </w:rPr>
        <w:t> </w:t>
      </w:r>
      <w:r>
        <w:rPr>
          <w:w w:val="105"/>
        </w:rPr>
        <w:t>pathogen</w:t>
      </w:r>
      <w:r>
        <w:rPr>
          <w:spacing w:val="-3"/>
          <w:w w:val="105"/>
        </w:rPr>
        <w:t> </w:t>
      </w:r>
      <w:r>
        <w:rPr>
          <w:w w:val="105"/>
        </w:rPr>
        <w:t>targets,</w:t>
      </w:r>
      <w:r>
        <w:rPr>
          <w:spacing w:val="-4"/>
          <w:w w:val="105"/>
        </w:rPr>
        <w:t> </w:t>
      </w:r>
      <w:r>
        <w:rPr>
          <w:w w:val="105"/>
        </w:rPr>
        <w:t>which</w:t>
      </w:r>
      <w:r>
        <w:rPr>
          <w:spacing w:val="-5"/>
          <w:w w:val="105"/>
        </w:rPr>
        <w:t> </w:t>
      </w:r>
      <w:r>
        <w:rPr>
          <w:w w:val="105"/>
        </w:rPr>
        <w:t>aligns</w:t>
      </w:r>
      <w:r>
        <w:rPr>
          <w:spacing w:val="-4"/>
          <w:w w:val="105"/>
        </w:rPr>
        <w:t> </w:t>
      </w:r>
      <w:r>
        <w:rPr>
          <w:w w:val="105"/>
        </w:rPr>
        <w:t>with</w:t>
      </w:r>
      <w:r>
        <w:rPr>
          <w:spacing w:val="-1"/>
          <w:w w:val="105"/>
        </w:rPr>
        <w:t> </w:t>
      </w:r>
      <w:r>
        <w:rPr>
          <w:color w:val="FF0000"/>
          <w:w w:val="105"/>
        </w:rPr>
        <w:t>PAYER</w:t>
      </w:r>
      <w:r>
        <w:rPr>
          <w:color w:val="FF0000"/>
          <w:spacing w:val="-4"/>
          <w:w w:val="105"/>
        </w:rPr>
        <w:t> </w:t>
      </w:r>
      <w:r>
        <w:rPr>
          <w:color w:val="FF0000"/>
          <w:w w:val="105"/>
        </w:rPr>
        <w:t>NAME</w:t>
      </w:r>
      <w:r>
        <w:rPr>
          <w:color w:val="FF0000"/>
          <w:spacing w:val="-4"/>
          <w:w w:val="105"/>
        </w:rPr>
        <w:t> </w:t>
      </w:r>
      <w:r>
        <w:rPr>
          <w:w w:val="105"/>
        </w:rPr>
        <w:t>respiratory</w:t>
      </w:r>
      <w:r>
        <w:rPr>
          <w:spacing w:val="-5"/>
          <w:w w:val="105"/>
        </w:rPr>
        <w:t> </w:t>
      </w:r>
      <w:r>
        <w:rPr>
          <w:w w:val="105"/>
        </w:rPr>
        <w:t>molecular</w:t>
      </w:r>
      <w:r>
        <w:rPr>
          <w:spacing w:val="-6"/>
          <w:w w:val="105"/>
        </w:rPr>
        <w:t> </w:t>
      </w:r>
      <w:r>
        <w:rPr>
          <w:w w:val="105"/>
        </w:rPr>
        <w:t>testing</w:t>
      </w:r>
      <w:r>
        <w:rPr>
          <w:spacing w:val="-3"/>
          <w:w w:val="105"/>
        </w:rPr>
        <w:t> </w:t>
      </w:r>
      <w:r>
        <w:rPr>
          <w:w w:val="105"/>
        </w:rPr>
        <w:t>policy criteria limiting outpatient</w:t>
      </w:r>
      <w:r>
        <w:rPr>
          <w:spacing w:val="-1"/>
          <w:w w:val="105"/>
        </w:rPr>
        <w:t> </w:t>
      </w:r>
      <w:r>
        <w:rPr>
          <w:w w:val="105"/>
        </w:rPr>
        <w:t>multiplex testing</w:t>
      </w:r>
      <w:r>
        <w:rPr>
          <w:spacing w:val="-1"/>
          <w:w w:val="105"/>
        </w:rPr>
        <w:t> </w:t>
      </w:r>
      <w:r>
        <w:rPr>
          <w:w w:val="105"/>
        </w:rPr>
        <w:t>to five targets or fewer.</w:t>
      </w:r>
    </w:p>
    <w:p>
      <w:pPr>
        <w:pStyle w:val="BodyText"/>
        <w:spacing w:before="239"/>
        <w:ind w:left="1079"/>
      </w:pPr>
      <w:r>
        <w:rPr>
          <w:w w:val="105"/>
        </w:rPr>
        <w:t>This claim</w:t>
      </w:r>
      <w:r>
        <w:rPr>
          <w:spacing w:val="-1"/>
          <w:w w:val="105"/>
        </w:rPr>
        <w:t> </w:t>
      </w:r>
      <w:r>
        <w:rPr>
          <w:w w:val="105"/>
        </w:rPr>
        <w:t>does not</w:t>
      </w:r>
      <w:r>
        <w:rPr>
          <w:spacing w:val="-2"/>
          <w:w w:val="105"/>
        </w:rPr>
        <w:t> </w:t>
      </w:r>
      <w:r>
        <w:rPr>
          <w:w w:val="105"/>
        </w:rPr>
        <w:t>involve</w:t>
      </w:r>
      <w:r>
        <w:rPr>
          <w:spacing w:val="1"/>
          <w:w w:val="105"/>
        </w:rPr>
        <w:t> </w:t>
      </w:r>
      <w:r>
        <w:rPr>
          <w:w w:val="105"/>
        </w:rPr>
        <w:t>broad</w:t>
      </w:r>
      <w:r>
        <w:rPr>
          <w:spacing w:val="2"/>
          <w:w w:val="105"/>
        </w:rPr>
        <w:t> </w:t>
      </w:r>
      <w:r>
        <w:rPr>
          <w:w w:val="105"/>
        </w:rPr>
        <w:t>respiratory</w:t>
      </w:r>
      <w:r>
        <w:rPr>
          <w:spacing w:val="2"/>
          <w:w w:val="105"/>
        </w:rPr>
        <w:t> </w:t>
      </w:r>
      <w:r>
        <w:rPr>
          <w:w w:val="105"/>
        </w:rPr>
        <w:t>panel</w:t>
      </w:r>
      <w:r>
        <w:rPr>
          <w:spacing w:val="-1"/>
          <w:w w:val="105"/>
        </w:rPr>
        <w:t> </w:t>
      </w:r>
      <w:r>
        <w:rPr>
          <w:w w:val="105"/>
        </w:rPr>
        <w:t>codes such</w:t>
      </w:r>
      <w:r>
        <w:rPr>
          <w:spacing w:val="-1"/>
          <w:w w:val="105"/>
        </w:rPr>
        <w:t> </w:t>
      </w:r>
      <w:r>
        <w:rPr>
          <w:w w:val="105"/>
        </w:rPr>
        <w:t>as</w:t>
      </w:r>
      <w:r>
        <w:rPr>
          <w:spacing w:val="1"/>
          <w:w w:val="105"/>
        </w:rPr>
        <w:t> </w:t>
      </w:r>
      <w:r>
        <w:rPr>
          <w:w w:val="105"/>
        </w:rPr>
        <w:t>CPT</w:t>
      </w:r>
      <w:r>
        <w:rPr>
          <w:spacing w:val="-3"/>
          <w:w w:val="105"/>
        </w:rPr>
        <w:t> </w:t>
      </w:r>
      <w:r>
        <w:rPr>
          <w:w w:val="105"/>
        </w:rPr>
        <w:t>87632</w:t>
      </w:r>
      <w:r>
        <w:rPr>
          <w:spacing w:val="1"/>
          <w:w w:val="105"/>
        </w:rPr>
        <w:t> </w:t>
      </w:r>
      <w:r>
        <w:rPr>
          <w:w w:val="105"/>
        </w:rPr>
        <w:t>or</w:t>
      </w:r>
      <w:r>
        <w:rPr>
          <w:spacing w:val="2"/>
          <w:w w:val="105"/>
        </w:rPr>
        <w:t> </w:t>
      </w:r>
      <w:r>
        <w:rPr>
          <w:spacing w:val="-2"/>
          <w:w w:val="105"/>
        </w:rPr>
        <w:t>87633.</w:t>
      </w:r>
    </w:p>
    <w:p>
      <w:pPr>
        <w:pStyle w:val="BodyText"/>
        <w:spacing w:before="240"/>
        <w:ind w:left="1079" w:right="1089"/>
      </w:pPr>
      <w:r>
        <w:rPr>
          <w:w w:val="105"/>
        </w:rPr>
        <w:t>The</w:t>
      </w:r>
      <w:r>
        <w:rPr>
          <w:spacing w:val="-4"/>
          <w:w w:val="105"/>
        </w:rPr>
        <w:t> </w:t>
      </w:r>
      <w:r>
        <w:rPr>
          <w:w w:val="105"/>
        </w:rPr>
        <w:t>testing</w:t>
      </w:r>
      <w:r>
        <w:rPr>
          <w:spacing w:val="-6"/>
          <w:w w:val="105"/>
        </w:rPr>
        <w:t> </w:t>
      </w:r>
      <w:r>
        <w:rPr>
          <w:w w:val="105"/>
        </w:rPr>
        <w:t>performed</w:t>
      </w:r>
      <w:r>
        <w:rPr>
          <w:spacing w:val="-2"/>
          <w:w w:val="105"/>
        </w:rPr>
        <w:t> </w:t>
      </w:r>
      <w:r>
        <w:rPr>
          <w:w w:val="105"/>
        </w:rPr>
        <w:t>was</w:t>
      </w:r>
      <w:r>
        <w:rPr>
          <w:spacing w:val="-4"/>
          <w:w w:val="105"/>
        </w:rPr>
        <w:t> </w:t>
      </w:r>
      <w:r>
        <w:rPr>
          <w:w w:val="105"/>
        </w:rPr>
        <w:t>targeted,</w:t>
      </w:r>
      <w:r>
        <w:rPr>
          <w:spacing w:val="-4"/>
          <w:w w:val="105"/>
        </w:rPr>
        <w:t> </w:t>
      </w:r>
      <w:r>
        <w:rPr>
          <w:w w:val="105"/>
        </w:rPr>
        <w:t>medically</w:t>
      </w:r>
      <w:r>
        <w:rPr>
          <w:spacing w:val="-5"/>
          <w:w w:val="105"/>
        </w:rPr>
        <w:t> </w:t>
      </w:r>
      <w:r>
        <w:rPr>
          <w:w w:val="105"/>
        </w:rPr>
        <w:t>necessary,</w:t>
      </w:r>
      <w:r>
        <w:rPr>
          <w:spacing w:val="-4"/>
          <w:w w:val="105"/>
        </w:rPr>
        <w:t> </w:t>
      </w:r>
      <w:r>
        <w:rPr>
          <w:w w:val="105"/>
        </w:rPr>
        <w:t>and</w:t>
      </w:r>
      <w:r>
        <w:rPr>
          <w:spacing w:val="-5"/>
          <w:w w:val="105"/>
        </w:rPr>
        <w:t> </w:t>
      </w:r>
      <w:r>
        <w:rPr>
          <w:w w:val="105"/>
        </w:rPr>
        <w:t>directly</w:t>
      </w:r>
      <w:r>
        <w:rPr>
          <w:spacing w:val="-5"/>
          <w:w w:val="105"/>
        </w:rPr>
        <w:t> </w:t>
      </w:r>
      <w:r>
        <w:rPr>
          <w:w w:val="105"/>
        </w:rPr>
        <w:t>relevant</w:t>
      </w:r>
      <w:r>
        <w:rPr>
          <w:spacing w:val="-3"/>
          <w:w w:val="105"/>
        </w:rPr>
        <w:t> </w:t>
      </w:r>
      <w:r>
        <w:rPr>
          <w:w w:val="105"/>
        </w:rPr>
        <w:t>to</w:t>
      </w:r>
      <w:r>
        <w:rPr>
          <w:spacing w:val="-5"/>
          <w:w w:val="105"/>
        </w:rPr>
        <w:t> </w:t>
      </w:r>
      <w:r>
        <w:rPr>
          <w:w w:val="105"/>
        </w:rPr>
        <w:t>patient management during the encounter.</w:t>
      </w:r>
    </w:p>
    <w:p>
      <w:pPr>
        <w:pStyle w:val="BodyText"/>
        <w:spacing w:before="240"/>
        <w:ind w:left="1079" w:right="1089"/>
      </w:pPr>
      <w:r>
        <w:rPr>
          <w:w w:val="105"/>
        </w:rPr>
        <w:t>Given</w:t>
      </w:r>
      <w:r>
        <w:rPr>
          <w:spacing w:val="-5"/>
          <w:w w:val="105"/>
        </w:rPr>
        <w:t> </w:t>
      </w:r>
      <w:r>
        <w:rPr>
          <w:w w:val="105"/>
        </w:rPr>
        <w:t>the</w:t>
      </w:r>
      <w:r>
        <w:rPr>
          <w:spacing w:val="-4"/>
          <w:w w:val="105"/>
        </w:rPr>
        <w:t> </w:t>
      </w:r>
      <w:r>
        <w:rPr>
          <w:w w:val="105"/>
        </w:rPr>
        <w:t>patient’s</w:t>
      </w:r>
      <w:r>
        <w:rPr>
          <w:spacing w:val="-4"/>
          <w:w w:val="105"/>
        </w:rPr>
        <w:t> </w:t>
      </w:r>
      <w:r>
        <w:rPr>
          <w:w w:val="105"/>
        </w:rPr>
        <w:t>presentation,</w:t>
      </w:r>
      <w:r>
        <w:rPr>
          <w:spacing w:val="-4"/>
          <w:w w:val="105"/>
        </w:rPr>
        <w:t> </w:t>
      </w:r>
      <w:r>
        <w:rPr>
          <w:w w:val="105"/>
        </w:rPr>
        <w:t>elevated</w:t>
      </w:r>
      <w:r>
        <w:rPr>
          <w:spacing w:val="-5"/>
          <w:w w:val="105"/>
        </w:rPr>
        <w:t> </w:t>
      </w:r>
      <w:r>
        <w:rPr>
          <w:w w:val="105"/>
        </w:rPr>
        <w:t>risk</w:t>
      </w:r>
      <w:r>
        <w:rPr>
          <w:spacing w:val="-1"/>
          <w:w w:val="105"/>
        </w:rPr>
        <w:t> </w:t>
      </w:r>
      <w:r>
        <w:rPr>
          <w:w w:val="105"/>
        </w:rPr>
        <w:t>profile,</w:t>
      </w:r>
      <w:r>
        <w:rPr>
          <w:spacing w:val="-4"/>
          <w:w w:val="105"/>
        </w:rPr>
        <w:t> </w:t>
      </w:r>
      <w:r>
        <w:rPr>
          <w:w w:val="105"/>
        </w:rPr>
        <w:t>and</w:t>
      </w:r>
      <w:r>
        <w:rPr>
          <w:spacing w:val="-5"/>
          <w:w w:val="105"/>
        </w:rPr>
        <w:t> </w:t>
      </w:r>
      <w:r>
        <w:rPr>
          <w:w w:val="105"/>
        </w:rPr>
        <w:t>the</w:t>
      </w:r>
      <w:r>
        <w:rPr>
          <w:spacing w:val="-4"/>
          <w:w w:val="105"/>
        </w:rPr>
        <w:t> </w:t>
      </w:r>
      <w:r>
        <w:rPr>
          <w:w w:val="105"/>
        </w:rPr>
        <w:t>direct</w:t>
      </w:r>
      <w:r>
        <w:rPr>
          <w:spacing w:val="-6"/>
          <w:w w:val="105"/>
        </w:rPr>
        <w:t> </w:t>
      </w:r>
      <w:r>
        <w:rPr>
          <w:w w:val="105"/>
        </w:rPr>
        <w:t>impact</w:t>
      </w:r>
      <w:r>
        <w:rPr>
          <w:spacing w:val="-6"/>
          <w:w w:val="105"/>
        </w:rPr>
        <w:t> </w:t>
      </w:r>
      <w:r>
        <w:rPr>
          <w:w w:val="105"/>
        </w:rPr>
        <w:t>of</w:t>
      </w:r>
      <w:r>
        <w:rPr>
          <w:spacing w:val="-2"/>
          <w:w w:val="105"/>
        </w:rPr>
        <w:t> </w:t>
      </w:r>
      <w:r>
        <w:rPr>
          <w:w w:val="105"/>
        </w:rPr>
        <w:t>the</w:t>
      </w:r>
      <w:r>
        <w:rPr>
          <w:spacing w:val="-4"/>
          <w:w w:val="105"/>
        </w:rPr>
        <w:t> </w:t>
      </w:r>
      <w:r>
        <w:rPr>
          <w:w w:val="105"/>
        </w:rPr>
        <w:t>test</w:t>
      </w:r>
      <w:r>
        <w:rPr>
          <w:spacing w:val="-6"/>
          <w:w w:val="105"/>
        </w:rPr>
        <w:t> </w:t>
      </w:r>
      <w:r>
        <w:rPr>
          <w:w w:val="105"/>
        </w:rPr>
        <w:t>results</w:t>
      </w:r>
      <w:r>
        <w:rPr>
          <w:spacing w:val="-4"/>
          <w:w w:val="105"/>
        </w:rPr>
        <w:t> </w:t>
      </w:r>
      <w:r>
        <w:rPr>
          <w:w w:val="105"/>
        </w:rPr>
        <w:t>on clinical management, I respectfully request reconsideration and reversal of this denial.</w:t>
      </w:r>
    </w:p>
    <w:p>
      <w:pPr>
        <w:pStyle w:val="BodyText"/>
        <w:ind w:left="0"/>
        <w:rPr>
          <w:sz w:val="20"/>
        </w:rPr>
      </w:pPr>
    </w:p>
    <w:p>
      <w:pPr>
        <w:pStyle w:val="BodyText"/>
        <w:ind w:left="0"/>
        <w:rPr>
          <w:sz w:val="20"/>
        </w:rPr>
      </w:pPr>
    </w:p>
    <w:p>
      <w:pPr>
        <w:pStyle w:val="BodyText"/>
        <w:spacing w:before="215"/>
        <w:ind w:left="0"/>
        <w:rPr>
          <w:sz w:val="20"/>
        </w:rPr>
      </w:pPr>
      <w:r>
        <w:rPr>
          <w:sz w:val="20"/>
        </w:rPr>
        <mc:AlternateContent>
          <mc:Choice Requires="wps">
            <w:drawing>
              <wp:anchor distT="0" distB="0" distL="0" distR="0" allowOverlap="1" layoutInCell="1" locked="0" behindDoc="1" simplePos="0" relativeHeight="487589376">
                <wp:simplePos x="0" y="0"/>
                <wp:positionH relativeFrom="page">
                  <wp:posOffset>685800</wp:posOffset>
                </wp:positionH>
                <wp:positionV relativeFrom="paragraph">
                  <wp:posOffset>307388</wp:posOffset>
                </wp:positionV>
                <wp:extent cx="1828800"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4pt;margin-top:24.203812pt;width:144pt;height:.599pt;mso-position-horizontal-relative:page;mso-position-vertical-relative:paragraph;z-index:-15727104;mso-wrap-distance-left:0;mso-wrap-distance-right:0" id="docshape7" filled="true" fillcolor="#000000" stroked="false">
                <v:fill type="solid"/>
                <w10:wrap type="topAndBottom"/>
              </v:rect>
            </w:pict>
          </mc:Fallback>
        </mc:AlternateContent>
      </w:r>
    </w:p>
    <w:p>
      <w:pPr>
        <w:spacing w:before="138"/>
        <w:ind w:left="1080" w:right="1089" w:hanging="1"/>
        <w:jc w:val="left"/>
        <w:rPr>
          <w:sz w:val="16"/>
        </w:rPr>
      </w:pPr>
      <w:bookmarkStart w:name="_bookmark0" w:id="3"/>
      <w:bookmarkEnd w:id="3"/>
      <w:r>
        <w:rPr/>
      </w:r>
      <w:r>
        <w:rPr>
          <w:w w:val="105"/>
          <w:sz w:val="16"/>
          <w:vertAlign w:val="superscript"/>
        </w:rPr>
        <w:t>1</w:t>
      </w:r>
      <w:r>
        <w:rPr>
          <w:w w:val="105"/>
          <w:sz w:val="16"/>
          <w:vertAlign w:val="baseline"/>
        </w:rPr>
        <w:t> Mojebi</w:t>
      </w:r>
      <w:r>
        <w:rPr>
          <w:spacing w:val="-2"/>
          <w:w w:val="105"/>
          <w:sz w:val="16"/>
          <w:vertAlign w:val="baseline"/>
        </w:rPr>
        <w:t> </w:t>
      </w:r>
      <w:r>
        <w:rPr>
          <w:w w:val="105"/>
          <w:sz w:val="16"/>
          <w:vertAlign w:val="baseline"/>
        </w:rPr>
        <w:t>A, Wu P,</w:t>
      </w:r>
      <w:r>
        <w:rPr>
          <w:spacing w:val="-3"/>
          <w:w w:val="105"/>
          <w:sz w:val="16"/>
          <w:vertAlign w:val="baseline"/>
        </w:rPr>
        <w:t> </w:t>
      </w:r>
      <w:r>
        <w:rPr>
          <w:w w:val="105"/>
          <w:sz w:val="16"/>
          <w:vertAlign w:val="baseline"/>
        </w:rPr>
        <w:t>Keeping S, Hale B,</w:t>
      </w:r>
      <w:r>
        <w:rPr>
          <w:spacing w:val="-5"/>
          <w:w w:val="105"/>
          <w:sz w:val="16"/>
          <w:vertAlign w:val="baseline"/>
        </w:rPr>
        <w:t> </w:t>
      </w:r>
      <w:r>
        <w:rPr>
          <w:w w:val="105"/>
          <w:sz w:val="16"/>
          <w:vertAlign w:val="baseline"/>
        </w:rPr>
        <w:t>Chase JG, Beaubrun</w:t>
      </w:r>
      <w:r>
        <w:rPr>
          <w:spacing w:val="-2"/>
          <w:w w:val="105"/>
          <w:sz w:val="16"/>
          <w:vertAlign w:val="baseline"/>
        </w:rPr>
        <w:t> </w:t>
      </w:r>
      <w:r>
        <w:rPr>
          <w:w w:val="105"/>
          <w:sz w:val="16"/>
          <w:vertAlign w:val="baseline"/>
        </w:rPr>
        <w:t>A. Clinical impact</w:t>
      </w:r>
      <w:r>
        <w:rPr>
          <w:spacing w:val="-2"/>
          <w:w w:val="105"/>
          <w:sz w:val="16"/>
          <w:vertAlign w:val="baseline"/>
        </w:rPr>
        <w:t> </w:t>
      </w:r>
      <w:r>
        <w:rPr>
          <w:w w:val="105"/>
          <w:sz w:val="16"/>
          <w:vertAlign w:val="baseline"/>
        </w:rPr>
        <w:t>of rapid molecular</w:t>
      </w:r>
      <w:r>
        <w:rPr>
          <w:spacing w:val="-4"/>
          <w:w w:val="105"/>
          <w:sz w:val="16"/>
          <w:vertAlign w:val="baseline"/>
        </w:rPr>
        <w:t> </w:t>
      </w:r>
      <w:r>
        <w:rPr>
          <w:w w:val="105"/>
          <w:sz w:val="16"/>
          <w:vertAlign w:val="baseline"/>
        </w:rPr>
        <w:t>diagnostic tests in</w:t>
      </w:r>
      <w:r>
        <w:rPr>
          <w:spacing w:val="-2"/>
          <w:w w:val="105"/>
          <w:sz w:val="16"/>
          <w:vertAlign w:val="baseline"/>
        </w:rPr>
        <w:t> </w:t>
      </w:r>
      <w:r>
        <w:rPr>
          <w:w w:val="105"/>
          <w:sz w:val="16"/>
          <w:vertAlign w:val="baseline"/>
        </w:rPr>
        <w:t>patients presenting</w:t>
      </w:r>
      <w:r>
        <w:rPr>
          <w:spacing w:val="-4"/>
          <w:w w:val="105"/>
          <w:sz w:val="16"/>
          <w:vertAlign w:val="baseline"/>
        </w:rPr>
        <w:t> </w:t>
      </w:r>
      <w:r>
        <w:rPr>
          <w:w w:val="105"/>
          <w:sz w:val="16"/>
          <w:vertAlign w:val="baseline"/>
        </w:rPr>
        <w:t>with</w:t>
      </w:r>
      <w:r>
        <w:rPr>
          <w:spacing w:val="-2"/>
          <w:w w:val="105"/>
          <w:sz w:val="16"/>
          <w:vertAlign w:val="baseline"/>
        </w:rPr>
        <w:t> </w:t>
      </w:r>
      <w:r>
        <w:rPr>
          <w:w w:val="105"/>
          <w:sz w:val="16"/>
          <w:vertAlign w:val="baseline"/>
        </w:rPr>
        <w:t>viral</w:t>
      </w:r>
      <w:r>
        <w:rPr>
          <w:spacing w:val="40"/>
          <w:w w:val="105"/>
          <w:sz w:val="16"/>
          <w:vertAlign w:val="baseline"/>
        </w:rPr>
        <w:t> </w:t>
      </w:r>
      <w:bookmarkStart w:name="_bookmark1" w:id="4"/>
      <w:bookmarkEnd w:id="4"/>
      <w:r>
        <w:rPr>
          <w:w w:val="105"/>
          <w:sz w:val="16"/>
          <w:vertAlign w:val="baseline"/>
        </w:rPr>
        <w:t>r</w:t>
      </w:r>
      <w:r>
        <w:rPr>
          <w:w w:val="105"/>
          <w:sz w:val="16"/>
          <w:vertAlign w:val="baseline"/>
        </w:rPr>
        <w:t>espiratory symptoms: A systematic literature review. </w:t>
      </w:r>
      <w:r>
        <w:rPr>
          <w:i/>
          <w:w w:val="105"/>
          <w:sz w:val="16"/>
          <w:vertAlign w:val="baseline"/>
        </w:rPr>
        <w:t>PLoS One</w:t>
      </w:r>
      <w:r>
        <w:rPr>
          <w:w w:val="105"/>
          <w:sz w:val="16"/>
          <w:vertAlign w:val="baseline"/>
        </w:rPr>
        <w:t>. 2024;19(6):e0303560. doi:10.1371/journal.pone.0303560</w:t>
      </w:r>
    </w:p>
    <w:p>
      <w:pPr>
        <w:spacing w:before="0"/>
        <w:ind w:left="1080" w:right="1089" w:hanging="1"/>
        <w:jc w:val="left"/>
        <w:rPr>
          <w:sz w:val="16"/>
        </w:rPr>
      </w:pPr>
      <w:r>
        <w:rPr>
          <w:w w:val="105"/>
          <w:sz w:val="16"/>
          <w:vertAlign w:val="superscript"/>
        </w:rPr>
        <w:t>2</w:t>
      </w:r>
      <w:r>
        <w:rPr>
          <w:w w:val="105"/>
          <w:sz w:val="16"/>
          <w:vertAlign w:val="baseline"/>
        </w:rPr>
        <w:t> Clark TW, Lindsley K,</w:t>
      </w:r>
      <w:r>
        <w:rPr>
          <w:spacing w:val="-2"/>
          <w:w w:val="105"/>
          <w:sz w:val="16"/>
          <w:vertAlign w:val="baseline"/>
        </w:rPr>
        <w:t> </w:t>
      </w:r>
      <w:r>
        <w:rPr>
          <w:w w:val="105"/>
          <w:sz w:val="16"/>
          <w:vertAlign w:val="baseline"/>
        </w:rPr>
        <w:t>Wigmosta TB,</w:t>
      </w:r>
      <w:r>
        <w:rPr>
          <w:spacing w:val="-2"/>
          <w:w w:val="105"/>
          <w:sz w:val="16"/>
          <w:vertAlign w:val="baseline"/>
        </w:rPr>
        <w:t> </w:t>
      </w:r>
      <w:r>
        <w:rPr>
          <w:w w:val="105"/>
          <w:sz w:val="16"/>
          <w:vertAlign w:val="baseline"/>
        </w:rPr>
        <w:t>et</w:t>
      </w:r>
      <w:r>
        <w:rPr>
          <w:spacing w:val="-1"/>
          <w:w w:val="105"/>
          <w:sz w:val="16"/>
          <w:vertAlign w:val="baseline"/>
        </w:rPr>
        <w:t> </w:t>
      </w:r>
      <w:r>
        <w:rPr>
          <w:w w:val="105"/>
          <w:sz w:val="16"/>
          <w:vertAlign w:val="baseline"/>
        </w:rPr>
        <w:t>al. Rapid multiplex</w:t>
      </w:r>
      <w:r>
        <w:rPr>
          <w:spacing w:val="-1"/>
          <w:w w:val="105"/>
          <w:sz w:val="16"/>
          <w:vertAlign w:val="baseline"/>
        </w:rPr>
        <w:t> </w:t>
      </w:r>
      <w:r>
        <w:rPr>
          <w:w w:val="105"/>
          <w:sz w:val="16"/>
          <w:vertAlign w:val="baseline"/>
        </w:rPr>
        <w:t>PCR for respiratory viruses reduces time to</w:t>
      </w:r>
      <w:r>
        <w:rPr>
          <w:spacing w:val="-1"/>
          <w:w w:val="105"/>
          <w:sz w:val="16"/>
          <w:vertAlign w:val="baseline"/>
        </w:rPr>
        <w:t> </w:t>
      </w:r>
      <w:r>
        <w:rPr>
          <w:w w:val="105"/>
          <w:sz w:val="16"/>
          <w:vertAlign w:val="baseline"/>
        </w:rPr>
        <w:t>result</w:t>
      </w:r>
      <w:r>
        <w:rPr>
          <w:spacing w:val="-1"/>
          <w:w w:val="105"/>
          <w:sz w:val="16"/>
          <w:vertAlign w:val="baseline"/>
        </w:rPr>
        <w:t> </w:t>
      </w:r>
      <w:r>
        <w:rPr>
          <w:w w:val="105"/>
          <w:sz w:val="16"/>
          <w:vertAlign w:val="baseline"/>
        </w:rPr>
        <w:t>and improves clinical</w:t>
      </w:r>
      <w:r>
        <w:rPr>
          <w:spacing w:val="-4"/>
          <w:w w:val="105"/>
          <w:sz w:val="16"/>
          <w:vertAlign w:val="baseline"/>
        </w:rPr>
        <w:t> </w:t>
      </w:r>
      <w:r>
        <w:rPr>
          <w:w w:val="105"/>
          <w:sz w:val="16"/>
          <w:vertAlign w:val="baseline"/>
        </w:rPr>
        <w:t>care: Results</w:t>
      </w:r>
      <w:r>
        <w:rPr>
          <w:spacing w:val="-4"/>
          <w:w w:val="105"/>
          <w:sz w:val="16"/>
          <w:vertAlign w:val="baseline"/>
        </w:rPr>
        <w:t> </w:t>
      </w:r>
      <w:r>
        <w:rPr>
          <w:w w:val="105"/>
          <w:sz w:val="16"/>
          <w:vertAlign w:val="baseline"/>
        </w:rPr>
        <w:t>of a</w:t>
      </w:r>
      <w:r>
        <w:rPr>
          <w:spacing w:val="40"/>
          <w:w w:val="105"/>
          <w:sz w:val="16"/>
          <w:vertAlign w:val="baseline"/>
        </w:rPr>
        <w:t> </w:t>
      </w:r>
      <w:r>
        <w:rPr>
          <w:w w:val="105"/>
          <w:sz w:val="16"/>
          <w:vertAlign w:val="baseline"/>
        </w:rPr>
        <w:t>systematic review and meta-analysis. </w:t>
      </w:r>
      <w:r>
        <w:rPr>
          <w:i/>
          <w:w w:val="105"/>
          <w:sz w:val="16"/>
          <w:vertAlign w:val="baseline"/>
        </w:rPr>
        <w:t>J Infect</w:t>
      </w:r>
      <w:r>
        <w:rPr>
          <w:w w:val="105"/>
          <w:sz w:val="16"/>
          <w:vertAlign w:val="baseline"/>
        </w:rPr>
        <w:t>. May 2023;86(5):462-475. doi:10.1016/j.jinf.2023.03.005</w:t>
      </w:r>
    </w:p>
    <w:p>
      <w:pPr>
        <w:spacing w:before="1"/>
        <w:ind w:left="1080" w:right="1089" w:hanging="1"/>
        <w:jc w:val="left"/>
        <w:rPr>
          <w:sz w:val="16"/>
        </w:rPr>
      </w:pPr>
      <w:bookmarkStart w:name="_bookmark2" w:id="5"/>
      <w:bookmarkEnd w:id="5"/>
      <w:r>
        <w:rPr/>
      </w:r>
      <w:r>
        <w:rPr>
          <w:w w:val="105"/>
          <w:sz w:val="16"/>
          <w:vertAlign w:val="superscript"/>
        </w:rPr>
        <w:t>3</w:t>
      </w:r>
      <w:r>
        <w:rPr>
          <w:spacing w:val="-4"/>
          <w:w w:val="105"/>
          <w:sz w:val="16"/>
          <w:vertAlign w:val="baseline"/>
        </w:rPr>
        <w:t> </w:t>
      </w:r>
      <w:r>
        <w:rPr>
          <w:w w:val="105"/>
          <w:sz w:val="16"/>
          <w:vertAlign w:val="baseline"/>
        </w:rPr>
        <w:t>Miller</w:t>
      </w:r>
      <w:r>
        <w:rPr>
          <w:spacing w:val="-4"/>
          <w:w w:val="105"/>
          <w:sz w:val="16"/>
          <w:vertAlign w:val="baseline"/>
        </w:rPr>
        <w:t> </w:t>
      </w:r>
      <w:r>
        <w:rPr>
          <w:w w:val="105"/>
          <w:sz w:val="16"/>
          <w:vertAlign w:val="baseline"/>
        </w:rPr>
        <w:t>JM,</w:t>
      </w:r>
      <w:r>
        <w:rPr>
          <w:spacing w:val="-3"/>
          <w:w w:val="105"/>
          <w:sz w:val="16"/>
          <w:vertAlign w:val="baseline"/>
        </w:rPr>
        <w:t> </w:t>
      </w:r>
      <w:r>
        <w:rPr>
          <w:w w:val="105"/>
          <w:sz w:val="16"/>
          <w:vertAlign w:val="baseline"/>
        </w:rPr>
        <w:t>Binnicker</w:t>
      </w:r>
      <w:r>
        <w:rPr>
          <w:spacing w:val="-4"/>
          <w:w w:val="105"/>
          <w:sz w:val="16"/>
          <w:vertAlign w:val="baseline"/>
        </w:rPr>
        <w:t> </w:t>
      </w:r>
      <w:r>
        <w:rPr>
          <w:w w:val="105"/>
          <w:sz w:val="16"/>
          <w:vertAlign w:val="baseline"/>
        </w:rPr>
        <w:t>MJ,</w:t>
      </w:r>
      <w:r>
        <w:rPr>
          <w:spacing w:val="-3"/>
          <w:w w:val="105"/>
          <w:sz w:val="16"/>
          <w:vertAlign w:val="baseline"/>
        </w:rPr>
        <w:t> </w:t>
      </w:r>
      <w:r>
        <w:rPr>
          <w:w w:val="105"/>
          <w:sz w:val="16"/>
          <w:vertAlign w:val="baseline"/>
        </w:rPr>
        <w:t>Campbell</w:t>
      </w:r>
      <w:r>
        <w:rPr>
          <w:spacing w:val="-7"/>
          <w:w w:val="105"/>
          <w:sz w:val="16"/>
          <w:vertAlign w:val="baseline"/>
        </w:rPr>
        <w:t> </w:t>
      </w:r>
      <w:r>
        <w:rPr>
          <w:w w:val="105"/>
          <w:sz w:val="16"/>
          <w:vertAlign w:val="baseline"/>
        </w:rPr>
        <w:t>S,</w:t>
      </w:r>
      <w:r>
        <w:rPr>
          <w:spacing w:val="-3"/>
          <w:w w:val="105"/>
          <w:sz w:val="16"/>
          <w:vertAlign w:val="baseline"/>
        </w:rPr>
        <w:t> </w:t>
      </w:r>
      <w:r>
        <w:rPr>
          <w:w w:val="105"/>
          <w:sz w:val="16"/>
          <w:vertAlign w:val="baseline"/>
        </w:rPr>
        <w:t>et</w:t>
      </w:r>
      <w:r>
        <w:rPr>
          <w:spacing w:val="-5"/>
          <w:w w:val="105"/>
          <w:sz w:val="16"/>
          <w:vertAlign w:val="baseline"/>
        </w:rPr>
        <w:t> </w:t>
      </w:r>
      <w:r>
        <w:rPr>
          <w:w w:val="105"/>
          <w:sz w:val="16"/>
          <w:vertAlign w:val="baseline"/>
        </w:rPr>
        <w:t>al.</w:t>
      </w:r>
      <w:r>
        <w:rPr>
          <w:spacing w:val="-3"/>
          <w:w w:val="105"/>
          <w:sz w:val="16"/>
          <w:vertAlign w:val="baseline"/>
        </w:rPr>
        <w:t> </w:t>
      </w:r>
      <w:r>
        <w:rPr>
          <w:w w:val="105"/>
          <w:sz w:val="16"/>
          <w:vertAlign w:val="baseline"/>
        </w:rPr>
        <w:t>Guide</w:t>
      </w:r>
      <w:r>
        <w:rPr>
          <w:spacing w:val="-4"/>
          <w:w w:val="105"/>
          <w:sz w:val="16"/>
          <w:vertAlign w:val="baseline"/>
        </w:rPr>
        <w:t> </w:t>
      </w:r>
      <w:r>
        <w:rPr>
          <w:w w:val="105"/>
          <w:sz w:val="16"/>
          <w:vertAlign w:val="baseline"/>
        </w:rPr>
        <w:t>to</w:t>
      </w:r>
      <w:r>
        <w:rPr>
          <w:spacing w:val="-5"/>
          <w:w w:val="105"/>
          <w:sz w:val="16"/>
          <w:vertAlign w:val="baseline"/>
        </w:rPr>
        <w:t> </w:t>
      </w:r>
      <w:r>
        <w:rPr>
          <w:w w:val="105"/>
          <w:sz w:val="16"/>
          <w:vertAlign w:val="baseline"/>
        </w:rPr>
        <w:t>Utilization</w:t>
      </w:r>
      <w:r>
        <w:rPr>
          <w:spacing w:val="-5"/>
          <w:w w:val="105"/>
          <w:sz w:val="16"/>
          <w:vertAlign w:val="baseline"/>
        </w:rPr>
        <w:t> </w:t>
      </w:r>
      <w:r>
        <w:rPr>
          <w:w w:val="105"/>
          <w:sz w:val="16"/>
          <w:vertAlign w:val="baseline"/>
        </w:rPr>
        <w:t>of</w:t>
      </w:r>
      <w:r>
        <w:rPr>
          <w:spacing w:val="-4"/>
          <w:w w:val="105"/>
          <w:sz w:val="16"/>
          <w:vertAlign w:val="baseline"/>
        </w:rPr>
        <w:t> </w:t>
      </w:r>
      <w:r>
        <w:rPr>
          <w:w w:val="105"/>
          <w:sz w:val="16"/>
          <w:vertAlign w:val="baseline"/>
        </w:rPr>
        <w:t>the</w:t>
      </w:r>
      <w:r>
        <w:rPr>
          <w:spacing w:val="-4"/>
          <w:w w:val="105"/>
          <w:sz w:val="16"/>
          <w:vertAlign w:val="baseline"/>
        </w:rPr>
        <w:t> </w:t>
      </w:r>
      <w:r>
        <w:rPr>
          <w:w w:val="105"/>
          <w:sz w:val="16"/>
          <w:vertAlign w:val="baseline"/>
        </w:rPr>
        <w:t>Microbiology</w:t>
      </w:r>
      <w:r>
        <w:rPr>
          <w:spacing w:val="-4"/>
          <w:w w:val="105"/>
          <w:sz w:val="16"/>
          <w:vertAlign w:val="baseline"/>
        </w:rPr>
        <w:t> </w:t>
      </w:r>
      <w:r>
        <w:rPr>
          <w:w w:val="105"/>
          <w:sz w:val="16"/>
          <w:vertAlign w:val="baseline"/>
        </w:rPr>
        <w:t>Laboratory</w:t>
      </w:r>
      <w:r>
        <w:rPr>
          <w:spacing w:val="-4"/>
          <w:w w:val="105"/>
          <w:sz w:val="16"/>
          <w:vertAlign w:val="baseline"/>
        </w:rPr>
        <w:t> </w:t>
      </w:r>
      <w:r>
        <w:rPr>
          <w:w w:val="105"/>
          <w:sz w:val="16"/>
          <w:vertAlign w:val="baseline"/>
        </w:rPr>
        <w:t>for</w:t>
      </w:r>
      <w:r>
        <w:rPr>
          <w:spacing w:val="-4"/>
          <w:w w:val="105"/>
          <w:sz w:val="16"/>
          <w:vertAlign w:val="baseline"/>
        </w:rPr>
        <w:t> </w:t>
      </w:r>
      <w:r>
        <w:rPr>
          <w:w w:val="105"/>
          <w:sz w:val="16"/>
          <w:vertAlign w:val="baseline"/>
        </w:rPr>
        <w:t>Diagnosis</w:t>
      </w:r>
      <w:r>
        <w:rPr>
          <w:spacing w:val="-4"/>
          <w:w w:val="105"/>
          <w:sz w:val="16"/>
          <w:vertAlign w:val="baseline"/>
        </w:rPr>
        <w:t> </w:t>
      </w:r>
      <w:r>
        <w:rPr>
          <w:w w:val="105"/>
          <w:sz w:val="16"/>
          <w:vertAlign w:val="baseline"/>
        </w:rPr>
        <w:t>of</w:t>
      </w:r>
      <w:r>
        <w:rPr>
          <w:spacing w:val="-4"/>
          <w:w w:val="105"/>
          <w:sz w:val="16"/>
          <w:vertAlign w:val="baseline"/>
        </w:rPr>
        <w:t> </w:t>
      </w:r>
      <w:r>
        <w:rPr>
          <w:w w:val="105"/>
          <w:sz w:val="16"/>
          <w:vertAlign w:val="baseline"/>
        </w:rPr>
        <w:t>Infectious</w:t>
      </w:r>
      <w:r>
        <w:rPr>
          <w:spacing w:val="-4"/>
          <w:w w:val="105"/>
          <w:sz w:val="16"/>
          <w:vertAlign w:val="baseline"/>
        </w:rPr>
        <w:t> </w:t>
      </w:r>
      <w:r>
        <w:rPr>
          <w:w w:val="105"/>
          <w:sz w:val="16"/>
          <w:vertAlign w:val="baseline"/>
        </w:rPr>
        <w:t>Diseases:</w:t>
      </w:r>
      <w:r>
        <w:rPr>
          <w:spacing w:val="-6"/>
          <w:w w:val="105"/>
          <w:sz w:val="16"/>
          <w:vertAlign w:val="baseline"/>
        </w:rPr>
        <w:t> </w:t>
      </w:r>
      <w:r>
        <w:rPr>
          <w:w w:val="105"/>
          <w:sz w:val="16"/>
          <w:vertAlign w:val="baseline"/>
        </w:rPr>
        <w:t>2024</w:t>
      </w:r>
      <w:r>
        <w:rPr>
          <w:spacing w:val="-5"/>
          <w:w w:val="105"/>
          <w:sz w:val="16"/>
          <w:vertAlign w:val="baseline"/>
        </w:rPr>
        <w:t> </w:t>
      </w:r>
      <w:r>
        <w:rPr>
          <w:w w:val="105"/>
          <w:sz w:val="16"/>
          <w:vertAlign w:val="baseline"/>
        </w:rPr>
        <w:t>Update</w:t>
      </w:r>
      <w:r>
        <w:rPr>
          <w:spacing w:val="-4"/>
          <w:w w:val="105"/>
          <w:sz w:val="16"/>
          <w:vertAlign w:val="baseline"/>
        </w:rPr>
        <w:t> </w:t>
      </w:r>
      <w:r>
        <w:rPr>
          <w:w w:val="105"/>
          <w:sz w:val="16"/>
          <w:vertAlign w:val="baseline"/>
        </w:rPr>
        <w:t>by</w:t>
      </w:r>
      <w:r>
        <w:rPr>
          <w:spacing w:val="40"/>
          <w:w w:val="105"/>
          <w:sz w:val="16"/>
          <w:vertAlign w:val="baseline"/>
        </w:rPr>
        <w:t> </w:t>
      </w:r>
      <w:r>
        <w:rPr>
          <w:w w:val="105"/>
          <w:sz w:val="16"/>
          <w:vertAlign w:val="baseline"/>
        </w:rPr>
        <w:t>the Infectious Diseases Society of America (IDSA) and the American Society for Microbiology (ASM). </w:t>
      </w:r>
      <w:r>
        <w:rPr>
          <w:i/>
          <w:w w:val="105"/>
          <w:sz w:val="16"/>
          <w:vertAlign w:val="baseline"/>
        </w:rPr>
        <w:t>Clin Infect Dis</w:t>
      </w:r>
      <w:r>
        <w:rPr>
          <w:w w:val="105"/>
          <w:sz w:val="16"/>
          <w:vertAlign w:val="baseline"/>
        </w:rPr>
        <w:t>. Mar 5</w:t>
      </w:r>
      <w:r>
        <w:rPr>
          <w:spacing w:val="40"/>
          <w:w w:val="105"/>
          <w:sz w:val="16"/>
          <w:vertAlign w:val="baseline"/>
        </w:rPr>
        <w:t> </w:t>
      </w:r>
      <w:r>
        <w:rPr>
          <w:spacing w:val="-2"/>
          <w:w w:val="105"/>
          <w:sz w:val="16"/>
          <w:vertAlign w:val="baseline"/>
        </w:rPr>
        <w:t>2024;doi:10.1093/cid/ciae104</w:t>
      </w:r>
    </w:p>
    <w:p>
      <w:pPr>
        <w:spacing w:after="0"/>
        <w:jc w:val="left"/>
        <w:rPr>
          <w:sz w:val="16"/>
        </w:rPr>
        <w:sectPr>
          <w:pgSz w:w="12240" w:h="15840"/>
          <w:pgMar w:top="1360" w:bottom="280" w:left="0" w:right="0"/>
        </w:sectPr>
      </w:pPr>
    </w:p>
    <w:p>
      <w:pPr>
        <w:pStyle w:val="BodyText"/>
        <w:spacing w:before="77"/>
        <w:ind w:left="1080" w:right="1089"/>
      </w:pPr>
      <w:r>
        <w:rPr>
          <w:w w:val="105"/>
        </w:rPr>
        <w:t>This testing represented medically necessary, evidence-based molecular respiratory diagnostics performed to guide immediate patient management and optimize appropriate care.</w:t>
      </w:r>
    </w:p>
    <w:p>
      <w:pPr>
        <w:pStyle w:val="BodyText"/>
        <w:spacing w:before="239"/>
        <w:ind w:left="1080"/>
      </w:pPr>
      <w:r>
        <w:rPr>
          <w:w w:val="105"/>
        </w:rPr>
        <w:t>Please</w:t>
      </w:r>
      <w:r>
        <w:rPr>
          <w:spacing w:val="5"/>
          <w:w w:val="105"/>
        </w:rPr>
        <w:t> </w:t>
      </w:r>
      <w:r>
        <w:rPr>
          <w:w w:val="105"/>
        </w:rPr>
        <w:t>reconsider</w:t>
      </w:r>
      <w:r>
        <w:rPr>
          <w:spacing w:val="4"/>
          <w:w w:val="105"/>
        </w:rPr>
        <w:t> </w:t>
      </w:r>
      <w:r>
        <w:rPr>
          <w:w w:val="105"/>
        </w:rPr>
        <w:t>coverage</w:t>
      </w:r>
      <w:r>
        <w:rPr>
          <w:spacing w:val="5"/>
          <w:w w:val="105"/>
        </w:rPr>
        <w:t> </w:t>
      </w:r>
      <w:r>
        <w:rPr>
          <w:w w:val="105"/>
        </w:rPr>
        <w:t>for</w:t>
      </w:r>
      <w:r>
        <w:rPr>
          <w:spacing w:val="4"/>
          <w:w w:val="105"/>
        </w:rPr>
        <w:t> </w:t>
      </w:r>
      <w:r>
        <w:rPr>
          <w:w w:val="105"/>
        </w:rPr>
        <w:t>this</w:t>
      </w:r>
      <w:r>
        <w:rPr>
          <w:spacing w:val="6"/>
          <w:w w:val="105"/>
        </w:rPr>
        <w:t> </w:t>
      </w:r>
      <w:r>
        <w:rPr>
          <w:w w:val="105"/>
        </w:rPr>
        <w:t>claim</w:t>
      </w:r>
      <w:r>
        <w:rPr>
          <w:spacing w:val="4"/>
          <w:w w:val="105"/>
        </w:rPr>
        <w:t> </w:t>
      </w:r>
      <w:r>
        <w:rPr>
          <w:w w:val="105"/>
        </w:rPr>
        <w:t>based</w:t>
      </w:r>
      <w:r>
        <w:rPr>
          <w:spacing w:val="5"/>
          <w:w w:val="105"/>
        </w:rPr>
        <w:t> </w:t>
      </w:r>
      <w:r>
        <w:rPr>
          <w:spacing w:val="-2"/>
          <w:w w:val="105"/>
        </w:rPr>
        <w:t>upon:</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The</w:t>
      </w:r>
      <w:r>
        <w:rPr>
          <w:spacing w:val="4"/>
          <w:w w:val="105"/>
          <w:sz w:val="24"/>
        </w:rPr>
        <w:t> </w:t>
      </w:r>
      <w:r>
        <w:rPr>
          <w:w w:val="105"/>
          <w:sz w:val="24"/>
        </w:rPr>
        <w:t>patient’s</w:t>
      </w:r>
      <w:r>
        <w:rPr>
          <w:spacing w:val="4"/>
          <w:w w:val="105"/>
          <w:sz w:val="24"/>
        </w:rPr>
        <w:t> </w:t>
      </w:r>
      <w:r>
        <w:rPr>
          <w:w w:val="105"/>
          <w:sz w:val="24"/>
        </w:rPr>
        <w:t>high-risk</w:t>
      </w:r>
      <w:r>
        <w:rPr>
          <w:spacing w:val="5"/>
          <w:w w:val="105"/>
          <w:sz w:val="24"/>
        </w:rPr>
        <w:t> </w:t>
      </w:r>
      <w:r>
        <w:rPr>
          <w:w w:val="105"/>
          <w:sz w:val="24"/>
        </w:rPr>
        <w:t>clinical</w:t>
      </w:r>
      <w:r>
        <w:rPr>
          <w:spacing w:val="3"/>
          <w:w w:val="105"/>
          <w:sz w:val="24"/>
        </w:rPr>
        <w:t> </w:t>
      </w:r>
      <w:r>
        <w:rPr>
          <w:spacing w:val="-2"/>
          <w:w w:val="105"/>
          <w:sz w:val="24"/>
        </w:rPr>
        <w:t>presentation</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Immediate</w:t>
      </w:r>
      <w:r>
        <w:rPr>
          <w:spacing w:val="-9"/>
          <w:w w:val="105"/>
          <w:sz w:val="24"/>
        </w:rPr>
        <w:t> </w:t>
      </w:r>
      <w:r>
        <w:rPr>
          <w:w w:val="105"/>
          <w:sz w:val="24"/>
        </w:rPr>
        <w:t>management</w:t>
      </w:r>
      <w:r>
        <w:rPr>
          <w:spacing w:val="-10"/>
          <w:w w:val="105"/>
          <w:sz w:val="24"/>
        </w:rPr>
        <w:t> </w:t>
      </w:r>
      <w:r>
        <w:rPr>
          <w:spacing w:val="-2"/>
          <w:w w:val="105"/>
          <w:sz w:val="24"/>
        </w:rPr>
        <w:t>impact</w:t>
      </w:r>
    </w:p>
    <w:p>
      <w:pPr>
        <w:pStyle w:val="ListParagraph"/>
        <w:numPr>
          <w:ilvl w:val="0"/>
          <w:numId w:val="2"/>
        </w:numPr>
        <w:tabs>
          <w:tab w:pos="1799" w:val="left" w:leader="none"/>
        </w:tabs>
        <w:spacing w:line="240" w:lineRule="auto" w:before="2" w:after="0"/>
        <w:ind w:left="1799" w:right="0" w:hanging="359"/>
        <w:jc w:val="left"/>
        <w:rPr>
          <w:rFonts w:ascii="Symbol" w:hAnsi="Symbol"/>
          <w:sz w:val="24"/>
        </w:rPr>
      </w:pPr>
      <w:r>
        <w:rPr>
          <w:w w:val="105"/>
          <w:sz w:val="24"/>
        </w:rPr>
        <w:t>Current</w:t>
      </w:r>
      <w:r>
        <w:rPr>
          <w:spacing w:val="-10"/>
          <w:w w:val="105"/>
          <w:sz w:val="24"/>
        </w:rPr>
        <w:t> </w:t>
      </w:r>
      <w:r>
        <w:rPr>
          <w:w w:val="105"/>
          <w:sz w:val="24"/>
        </w:rPr>
        <w:t>evidence</w:t>
      </w:r>
      <w:r>
        <w:rPr>
          <w:spacing w:val="-7"/>
          <w:w w:val="105"/>
          <w:sz w:val="24"/>
        </w:rPr>
        <w:t> </w:t>
      </w:r>
      <w:r>
        <w:rPr>
          <w:w w:val="105"/>
          <w:sz w:val="24"/>
        </w:rPr>
        <w:t>supporting</w:t>
      </w:r>
      <w:r>
        <w:rPr>
          <w:spacing w:val="-7"/>
          <w:w w:val="105"/>
          <w:sz w:val="24"/>
        </w:rPr>
        <w:t> </w:t>
      </w:r>
      <w:r>
        <w:rPr>
          <w:w w:val="105"/>
          <w:sz w:val="24"/>
        </w:rPr>
        <w:t>multiplex</w:t>
      </w:r>
      <w:r>
        <w:rPr>
          <w:spacing w:val="-6"/>
          <w:w w:val="105"/>
          <w:sz w:val="24"/>
        </w:rPr>
        <w:t> </w:t>
      </w:r>
      <w:r>
        <w:rPr>
          <w:w w:val="105"/>
          <w:sz w:val="24"/>
        </w:rPr>
        <w:t>molecular</w:t>
      </w:r>
      <w:r>
        <w:rPr>
          <w:spacing w:val="-9"/>
          <w:w w:val="105"/>
          <w:sz w:val="24"/>
        </w:rPr>
        <w:t> </w:t>
      </w:r>
      <w:r>
        <w:rPr>
          <w:w w:val="105"/>
          <w:sz w:val="24"/>
        </w:rPr>
        <w:t>respiratory</w:t>
      </w:r>
      <w:r>
        <w:rPr>
          <w:spacing w:val="-7"/>
          <w:w w:val="105"/>
          <w:sz w:val="24"/>
        </w:rPr>
        <w:t> </w:t>
      </w:r>
      <w:r>
        <w:rPr>
          <w:spacing w:val="-2"/>
          <w:w w:val="105"/>
          <w:sz w:val="24"/>
        </w:rPr>
        <w:t>testing</w:t>
      </w:r>
    </w:p>
    <w:p>
      <w:pPr>
        <w:pStyle w:val="ListParagraph"/>
        <w:numPr>
          <w:ilvl w:val="0"/>
          <w:numId w:val="2"/>
        </w:numPr>
        <w:tabs>
          <w:tab w:pos="1799" w:val="left" w:leader="none"/>
        </w:tabs>
        <w:spacing w:line="240" w:lineRule="auto" w:before="3" w:after="0"/>
        <w:ind w:left="1799" w:right="0" w:hanging="359"/>
        <w:jc w:val="left"/>
        <w:rPr>
          <w:rFonts w:ascii="Symbol" w:hAnsi="Symbol"/>
          <w:sz w:val="24"/>
        </w:rPr>
      </w:pPr>
      <w:r>
        <w:rPr>
          <w:spacing w:val="4"/>
          <w:sz w:val="24"/>
        </w:rPr>
        <w:t>Diagnostic</w:t>
      </w:r>
      <w:r>
        <w:rPr>
          <w:spacing w:val="30"/>
          <w:sz w:val="24"/>
        </w:rPr>
        <w:t> </w:t>
      </w:r>
      <w:r>
        <w:rPr>
          <w:spacing w:val="4"/>
          <w:sz w:val="24"/>
        </w:rPr>
        <w:t>stewardship</w:t>
      </w:r>
      <w:r>
        <w:rPr>
          <w:spacing w:val="29"/>
          <w:sz w:val="24"/>
        </w:rPr>
        <w:t> </w:t>
      </w:r>
      <w:r>
        <w:rPr>
          <w:spacing w:val="-2"/>
          <w:sz w:val="24"/>
        </w:rPr>
        <w:t>principles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Alignment</w:t>
      </w:r>
      <w:r>
        <w:rPr>
          <w:spacing w:val="-14"/>
          <w:w w:val="105"/>
          <w:sz w:val="24"/>
        </w:rPr>
        <w:t> </w:t>
      </w:r>
      <w:r>
        <w:rPr>
          <w:w w:val="105"/>
          <w:sz w:val="24"/>
        </w:rPr>
        <w:t>with</w:t>
      </w:r>
      <w:r>
        <w:rPr>
          <w:spacing w:val="-13"/>
          <w:w w:val="105"/>
          <w:sz w:val="24"/>
        </w:rPr>
        <w:t> </w:t>
      </w:r>
      <w:r>
        <w:rPr>
          <w:w w:val="105"/>
          <w:sz w:val="24"/>
        </w:rPr>
        <w:t>payer</w:t>
      </w:r>
      <w:r>
        <w:rPr>
          <w:spacing w:val="-14"/>
          <w:w w:val="105"/>
          <w:sz w:val="24"/>
        </w:rPr>
        <w:t> </w:t>
      </w:r>
      <w:r>
        <w:rPr>
          <w:w w:val="105"/>
          <w:sz w:val="24"/>
        </w:rPr>
        <w:t>policy</w:t>
      </w:r>
      <w:r>
        <w:rPr>
          <w:spacing w:val="-13"/>
          <w:w w:val="105"/>
          <w:sz w:val="24"/>
        </w:rPr>
        <w:t> </w:t>
      </w:r>
      <w:r>
        <w:rPr>
          <w:w w:val="105"/>
          <w:sz w:val="24"/>
        </w:rPr>
        <w:t>requirements</w:t>
      </w:r>
      <w:r>
        <w:rPr>
          <w:spacing w:val="-12"/>
          <w:w w:val="105"/>
          <w:sz w:val="24"/>
        </w:rPr>
        <w:t> </w:t>
      </w:r>
      <w:r>
        <w:rPr>
          <w:w w:val="105"/>
          <w:sz w:val="24"/>
        </w:rPr>
        <w:t>for</w:t>
      </w:r>
      <w:r>
        <w:rPr>
          <w:spacing w:val="-10"/>
          <w:w w:val="105"/>
          <w:sz w:val="24"/>
        </w:rPr>
        <w:t> </w:t>
      </w:r>
      <w:r>
        <w:rPr>
          <w:w w:val="105"/>
          <w:sz w:val="24"/>
        </w:rPr>
        <w:t>CPT</w:t>
      </w:r>
      <w:r>
        <w:rPr>
          <w:spacing w:val="-12"/>
          <w:w w:val="105"/>
          <w:sz w:val="24"/>
        </w:rPr>
        <w:t> </w:t>
      </w:r>
      <w:r>
        <w:rPr>
          <w:spacing w:val="-2"/>
          <w:w w:val="105"/>
          <w:sz w:val="24"/>
        </w:rPr>
        <w:t>87631</w:t>
      </w:r>
    </w:p>
    <w:p>
      <w:pPr>
        <w:pStyle w:val="BodyText"/>
        <w:spacing w:before="180"/>
        <w:ind w:left="1080" w:right="1089"/>
      </w:pPr>
      <w:r>
        <w:rPr>
          <w:w w:val="105"/>
        </w:rPr>
        <w:t>I am available for peer-to-peer discussion if additional clinical information is required. Please contact my office at </w:t>
      </w:r>
      <w:r>
        <w:rPr>
          <w:color w:val="FF0000"/>
          <w:w w:val="105"/>
        </w:rPr>
        <w:t>Phone Number </w:t>
      </w:r>
      <w:r>
        <w:rPr>
          <w:w w:val="105"/>
        </w:rPr>
        <w:t>or </w:t>
      </w:r>
      <w:r>
        <w:rPr>
          <w:color w:val="FF0000"/>
          <w:w w:val="105"/>
        </w:rPr>
        <w:t>Email Address</w:t>
      </w:r>
      <w:r>
        <w:rPr>
          <w:w w:val="105"/>
        </w:rPr>
        <w:t>.</w:t>
      </w:r>
    </w:p>
    <w:p>
      <w:pPr>
        <w:pStyle w:val="BodyText"/>
        <w:ind w:left="0"/>
      </w:pPr>
    </w:p>
    <w:p>
      <w:pPr>
        <w:pStyle w:val="BodyText"/>
        <w:spacing w:before="187"/>
        <w:ind w:left="0"/>
      </w:pPr>
    </w:p>
    <w:p>
      <w:pPr>
        <w:pStyle w:val="BodyText"/>
        <w:ind w:left="1080"/>
      </w:pPr>
      <w:r>
        <w:rPr>
          <w:spacing w:val="-2"/>
          <w:w w:val="110"/>
        </w:rPr>
        <w:t>Sincerely,</w:t>
      </w:r>
    </w:p>
    <w:p>
      <w:pPr>
        <w:pStyle w:val="Heading3"/>
        <w:tabs>
          <w:tab w:pos="7958" w:val="left" w:leader="none"/>
        </w:tabs>
        <w:spacing w:before="240"/>
        <w:ind w:left="1080"/>
        <w:rPr>
          <w:b w:val="0"/>
        </w:rPr>
      </w:pPr>
      <w:r>
        <w:rPr>
          <w:w w:val="105"/>
        </w:rPr>
        <w:t>Provider </w:t>
      </w:r>
      <w:r>
        <w:rPr>
          <w:w w:val="110"/>
        </w:rPr>
        <w:t>Signature</w:t>
      </w:r>
      <w:r>
        <w:rPr>
          <w:b w:val="0"/>
          <w:w w:val="110"/>
        </w:rPr>
        <w:t>: </w:t>
      </w:r>
      <w:r>
        <w:rPr>
          <w:b w:val="0"/>
          <w:u w:val="single"/>
        </w:rPr>
        <w:tab/>
      </w:r>
    </w:p>
    <w:p>
      <w:pPr>
        <w:spacing w:before="239"/>
        <w:ind w:left="1080" w:right="6243" w:firstLine="0"/>
        <w:jc w:val="both"/>
        <w:rPr>
          <w:sz w:val="24"/>
        </w:rPr>
      </w:pPr>
      <w:r>
        <w:rPr>
          <w:b/>
          <w:sz w:val="24"/>
        </w:rPr>
        <w:t>Provider Name</w:t>
      </w:r>
      <w:r>
        <w:rPr>
          <w:sz w:val="24"/>
        </w:rPr>
        <w:t>: </w:t>
      </w:r>
      <w:r>
        <w:rPr>
          <w:color w:val="FF0000"/>
          <w:sz w:val="24"/>
        </w:rPr>
        <w:t>Provider Name, MD/DO/NP/PA </w:t>
      </w:r>
      <w:r>
        <w:rPr>
          <w:b/>
          <w:sz w:val="24"/>
        </w:rPr>
        <w:t>National Provider Identifier (NPI)</w:t>
      </w:r>
      <w:r>
        <w:rPr>
          <w:sz w:val="24"/>
        </w:rPr>
        <w:t>: </w:t>
      </w:r>
      <w:r>
        <w:rPr>
          <w:color w:val="FF0000"/>
          <w:sz w:val="24"/>
        </w:rPr>
        <w:t>NPI Number </w:t>
      </w:r>
      <w:r>
        <w:rPr>
          <w:b/>
          <w:w w:val="110"/>
          <w:sz w:val="24"/>
        </w:rPr>
        <w:t>Clinic Name</w:t>
      </w:r>
      <w:r>
        <w:rPr>
          <w:w w:val="110"/>
          <w:sz w:val="24"/>
        </w:rPr>
        <w:t>: </w:t>
      </w:r>
      <w:r>
        <w:rPr>
          <w:color w:val="FF0000"/>
          <w:w w:val="110"/>
          <w:sz w:val="24"/>
        </w:rPr>
        <w:t>Clinic Name</w:t>
      </w:r>
    </w:p>
    <w:p>
      <w:pPr>
        <w:spacing w:line="292" w:lineRule="exact" w:before="0"/>
        <w:ind w:left="1080" w:right="0" w:firstLine="0"/>
        <w:jc w:val="both"/>
        <w:rPr>
          <w:sz w:val="24"/>
        </w:rPr>
      </w:pPr>
      <w:r>
        <w:rPr>
          <w:b/>
          <w:w w:val="105"/>
          <w:sz w:val="24"/>
        </w:rPr>
        <w:t>Phone</w:t>
      </w:r>
      <w:r>
        <w:rPr>
          <w:b/>
          <w:spacing w:val="9"/>
          <w:w w:val="105"/>
          <w:sz w:val="24"/>
        </w:rPr>
        <w:t> </w:t>
      </w:r>
      <w:r>
        <w:rPr>
          <w:b/>
          <w:w w:val="105"/>
          <w:sz w:val="24"/>
        </w:rPr>
        <w:t>Number</w:t>
      </w:r>
      <w:r>
        <w:rPr>
          <w:w w:val="105"/>
          <w:sz w:val="24"/>
        </w:rPr>
        <w:t>:</w:t>
      </w:r>
      <w:r>
        <w:rPr>
          <w:spacing w:val="9"/>
          <w:w w:val="105"/>
          <w:sz w:val="24"/>
        </w:rPr>
        <w:t> </w:t>
      </w:r>
      <w:r>
        <w:rPr>
          <w:color w:val="FF0000"/>
          <w:w w:val="105"/>
          <w:sz w:val="24"/>
        </w:rPr>
        <w:t>Phone</w:t>
      </w:r>
      <w:r>
        <w:rPr>
          <w:color w:val="FF0000"/>
          <w:spacing w:val="7"/>
          <w:w w:val="105"/>
          <w:sz w:val="24"/>
        </w:rPr>
        <w:t> </w:t>
      </w:r>
      <w:r>
        <w:rPr>
          <w:color w:val="FF0000"/>
          <w:spacing w:val="-2"/>
          <w:w w:val="105"/>
          <w:sz w:val="24"/>
        </w:rPr>
        <w:t>Number</w:t>
      </w:r>
    </w:p>
    <w:p>
      <w:pPr>
        <w:pStyle w:val="BodyText"/>
        <w:ind w:left="0"/>
      </w:pPr>
    </w:p>
    <w:p>
      <w:pPr>
        <w:pStyle w:val="BodyText"/>
        <w:spacing w:before="127"/>
        <w:ind w:left="0"/>
      </w:pPr>
    </w:p>
    <w:p>
      <w:pPr>
        <w:spacing w:before="0"/>
        <w:ind w:left="1080" w:right="0" w:firstLine="0"/>
        <w:jc w:val="left"/>
        <w:rPr>
          <w:b/>
          <w:sz w:val="22"/>
        </w:rPr>
      </w:pPr>
      <w:r>
        <w:rPr>
          <w:b/>
          <w:spacing w:val="-2"/>
          <w:w w:val="110"/>
          <w:sz w:val="22"/>
        </w:rPr>
        <w:t>Attachments:</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Signed clinical</w:t>
      </w:r>
      <w:r>
        <w:rPr>
          <w:spacing w:val="-2"/>
          <w:w w:val="105"/>
          <w:sz w:val="22"/>
        </w:rPr>
        <w:t> </w:t>
      </w:r>
      <w:r>
        <w:rPr>
          <w:w w:val="105"/>
          <w:sz w:val="22"/>
        </w:rPr>
        <w:t>chart</w:t>
      </w:r>
      <w:r>
        <w:rPr>
          <w:spacing w:val="-2"/>
          <w:w w:val="105"/>
          <w:sz w:val="22"/>
        </w:rPr>
        <w:t> </w:t>
      </w:r>
      <w:r>
        <w:rPr>
          <w:w w:val="105"/>
          <w:sz w:val="22"/>
        </w:rPr>
        <w:t>notes for</w:t>
      </w:r>
      <w:r>
        <w:rPr>
          <w:spacing w:val="-2"/>
          <w:w w:val="105"/>
          <w:sz w:val="22"/>
        </w:rPr>
        <w:t> </w:t>
      </w:r>
      <w:r>
        <w:rPr>
          <w:w w:val="105"/>
          <w:sz w:val="22"/>
        </w:rPr>
        <w:t>the</w:t>
      </w:r>
      <w:r>
        <w:rPr>
          <w:spacing w:val="1"/>
          <w:w w:val="105"/>
          <w:sz w:val="22"/>
        </w:rPr>
        <w:t> </w:t>
      </w:r>
      <w:r>
        <w:rPr>
          <w:w w:val="105"/>
          <w:sz w:val="22"/>
        </w:rPr>
        <w:t>Date</w:t>
      </w:r>
      <w:r>
        <w:rPr>
          <w:spacing w:val="-2"/>
          <w:w w:val="105"/>
          <w:sz w:val="22"/>
        </w:rPr>
        <w:t> </w:t>
      </w:r>
      <w:r>
        <w:rPr>
          <w:w w:val="105"/>
          <w:sz w:val="22"/>
        </w:rPr>
        <w:t>of </w:t>
      </w:r>
      <w:r>
        <w:rPr>
          <w:spacing w:val="-2"/>
          <w:w w:val="105"/>
          <w:sz w:val="22"/>
        </w:rPr>
        <w:t>Service</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Relevant</w:t>
      </w:r>
      <w:r>
        <w:rPr>
          <w:spacing w:val="-5"/>
          <w:w w:val="105"/>
          <w:sz w:val="22"/>
        </w:rPr>
        <w:t> </w:t>
      </w:r>
      <w:r>
        <w:rPr>
          <w:w w:val="105"/>
          <w:sz w:val="22"/>
        </w:rPr>
        <w:t>lab</w:t>
      </w:r>
      <w:r>
        <w:rPr>
          <w:spacing w:val="-7"/>
          <w:w w:val="105"/>
          <w:sz w:val="22"/>
        </w:rPr>
        <w:t> </w:t>
      </w:r>
      <w:r>
        <w:rPr>
          <w:w w:val="105"/>
          <w:sz w:val="22"/>
        </w:rPr>
        <w:t>report/positive</w:t>
      </w:r>
      <w:r>
        <w:rPr>
          <w:spacing w:val="-7"/>
          <w:w w:val="105"/>
          <w:sz w:val="22"/>
        </w:rPr>
        <w:t> </w:t>
      </w:r>
      <w:r>
        <w:rPr>
          <w:w w:val="105"/>
          <w:sz w:val="22"/>
        </w:rPr>
        <w:t>flag</w:t>
      </w:r>
      <w:r>
        <w:rPr>
          <w:spacing w:val="-7"/>
          <w:w w:val="105"/>
          <w:sz w:val="22"/>
        </w:rPr>
        <w:t> </w:t>
      </w:r>
      <w:r>
        <w:rPr>
          <w:w w:val="105"/>
          <w:sz w:val="22"/>
        </w:rPr>
        <w:t>sheet</w:t>
      </w:r>
      <w:r>
        <w:rPr>
          <w:spacing w:val="-7"/>
          <w:w w:val="105"/>
          <w:sz w:val="22"/>
        </w:rPr>
        <w:t> </w:t>
      </w:r>
      <w:r>
        <w:rPr>
          <w:w w:val="105"/>
          <w:sz w:val="22"/>
        </w:rPr>
        <w:t>from</w:t>
      </w:r>
      <w:r>
        <w:rPr>
          <w:spacing w:val="-7"/>
          <w:w w:val="105"/>
          <w:sz w:val="22"/>
        </w:rPr>
        <w:t> </w:t>
      </w:r>
      <w:r>
        <w:rPr>
          <w:w w:val="105"/>
          <w:sz w:val="22"/>
        </w:rPr>
        <w:t>the</w:t>
      </w:r>
      <w:r>
        <w:rPr>
          <w:spacing w:val="-6"/>
          <w:w w:val="105"/>
          <w:sz w:val="22"/>
        </w:rPr>
        <w:t> </w:t>
      </w:r>
      <w:r>
        <w:rPr>
          <w:w w:val="105"/>
          <w:sz w:val="22"/>
        </w:rPr>
        <w:t>SPOTFIRE</w:t>
      </w:r>
      <w:r>
        <w:rPr>
          <w:spacing w:val="-6"/>
          <w:w w:val="105"/>
          <w:sz w:val="22"/>
        </w:rPr>
        <w:t> </w:t>
      </w:r>
      <w:r>
        <w:rPr>
          <w:spacing w:val="-2"/>
          <w:w w:val="105"/>
          <w:sz w:val="22"/>
        </w:rPr>
        <w:t>analyzer</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List</w:t>
      </w:r>
      <w:r>
        <w:rPr>
          <w:spacing w:val="1"/>
          <w:w w:val="105"/>
          <w:sz w:val="22"/>
        </w:rPr>
        <w:t> </w:t>
      </w:r>
      <w:r>
        <w:rPr>
          <w:w w:val="105"/>
          <w:sz w:val="22"/>
        </w:rPr>
        <w:t>of</w:t>
      </w:r>
      <w:r>
        <w:rPr>
          <w:spacing w:val="1"/>
          <w:w w:val="105"/>
          <w:sz w:val="22"/>
        </w:rPr>
        <w:t> </w:t>
      </w:r>
      <w:r>
        <w:rPr>
          <w:w w:val="105"/>
          <w:sz w:val="22"/>
        </w:rPr>
        <w:t>active</w:t>
      </w:r>
      <w:r>
        <w:rPr>
          <w:spacing w:val="1"/>
          <w:w w:val="105"/>
          <w:sz w:val="22"/>
        </w:rPr>
        <w:t> </w:t>
      </w:r>
      <w:r>
        <w:rPr>
          <w:w w:val="105"/>
          <w:sz w:val="22"/>
        </w:rPr>
        <w:t>patient</w:t>
      </w:r>
      <w:r>
        <w:rPr>
          <w:spacing w:val="4"/>
          <w:w w:val="105"/>
          <w:sz w:val="22"/>
        </w:rPr>
        <w:t> </w:t>
      </w:r>
      <w:r>
        <w:rPr>
          <w:w w:val="105"/>
          <w:sz w:val="22"/>
        </w:rPr>
        <w:t>comorbidities</w:t>
      </w:r>
      <w:r>
        <w:rPr>
          <w:spacing w:val="4"/>
          <w:w w:val="105"/>
          <w:sz w:val="22"/>
        </w:rPr>
        <w:t> </w:t>
      </w:r>
      <w:r>
        <w:rPr>
          <w:w w:val="105"/>
          <w:sz w:val="22"/>
        </w:rPr>
        <w:t>(ICD-10</w:t>
      </w:r>
      <w:r>
        <w:rPr>
          <w:spacing w:val="2"/>
          <w:w w:val="105"/>
          <w:sz w:val="22"/>
        </w:rPr>
        <w:t> </w:t>
      </w:r>
      <w:r>
        <w:rPr>
          <w:spacing w:val="-2"/>
          <w:w w:val="105"/>
          <w:sz w:val="22"/>
        </w:rPr>
        <w:t>codes)</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If</w:t>
      </w:r>
      <w:r>
        <w:rPr>
          <w:spacing w:val="-5"/>
          <w:w w:val="105"/>
          <w:sz w:val="22"/>
        </w:rPr>
        <w:t> </w:t>
      </w:r>
      <w:r>
        <w:rPr>
          <w:w w:val="105"/>
          <w:sz w:val="22"/>
        </w:rPr>
        <w:t>available,</w:t>
      </w:r>
      <w:r>
        <w:rPr>
          <w:spacing w:val="-5"/>
          <w:w w:val="105"/>
          <w:sz w:val="22"/>
        </w:rPr>
        <w:t> </w:t>
      </w:r>
      <w:r>
        <w:rPr>
          <w:w w:val="105"/>
          <w:sz w:val="22"/>
        </w:rPr>
        <w:t>copy</w:t>
      </w:r>
      <w:r>
        <w:rPr>
          <w:spacing w:val="-5"/>
          <w:w w:val="105"/>
          <w:sz w:val="22"/>
        </w:rPr>
        <w:t> </w:t>
      </w:r>
      <w:r>
        <w:rPr>
          <w:w w:val="105"/>
          <w:sz w:val="22"/>
        </w:rPr>
        <w:t>of</w:t>
      </w:r>
      <w:r>
        <w:rPr>
          <w:spacing w:val="-6"/>
          <w:w w:val="105"/>
          <w:sz w:val="22"/>
        </w:rPr>
        <w:t> </w:t>
      </w:r>
      <w:r>
        <w:rPr>
          <w:w w:val="105"/>
          <w:sz w:val="22"/>
        </w:rPr>
        <w:t>denial</w:t>
      </w:r>
      <w:r>
        <w:rPr>
          <w:spacing w:val="-7"/>
          <w:w w:val="105"/>
          <w:sz w:val="22"/>
        </w:rPr>
        <w:t> </w:t>
      </w:r>
      <w:r>
        <w:rPr>
          <w:w w:val="105"/>
          <w:sz w:val="22"/>
        </w:rPr>
        <w:t>letter</w:t>
      </w:r>
      <w:r>
        <w:rPr>
          <w:spacing w:val="-7"/>
          <w:w w:val="105"/>
          <w:sz w:val="22"/>
        </w:rPr>
        <w:t> </w:t>
      </w:r>
      <w:r>
        <w:rPr>
          <w:w w:val="105"/>
          <w:sz w:val="22"/>
        </w:rPr>
        <w:t>and/or</w:t>
      </w:r>
      <w:r>
        <w:rPr>
          <w:spacing w:val="-7"/>
          <w:w w:val="105"/>
          <w:sz w:val="22"/>
        </w:rPr>
        <w:t> </w:t>
      </w:r>
      <w:r>
        <w:rPr>
          <w:w w:val="105"/>
          <w:sz w:val="22"/>
        </w:rPr>
        <w:t>EOB</w:t>
      </w:r>
      <w:r>
        <w:rPr>
          <w:spacing w:val="-7"/>
          <w:w w:val="105"/>
          <w:sz w:val="22"/>
        </w:rPr>
        <w:t> </w:t>
      </w:r>
      <w:r>
        <w:rPr>
          <w:w w:val="105"/>
          <w:sz w:val="22"/>
        </w:rPr>
        <w:t>noting</w:t>
      </w:r>
      <w:r>
        <w:rPr>
          <w:spacing w:val="-6"/>
          <w:w w:val="105"/>
          <w:sz w:val="22"/>
        </w:rPr>
        <w:t> </w:t>
      </w:r>
      <w:r>
        <w:rPr>
          <w:w w:val="105"/>
          <w:sz w:val="22"/>
        </w:rPr>
        <w:t>denial</w:t>
      </w:r>
      <w:r>
        <w:rPr>
          <w:spacing w:val="-8"/>
          <w:w w:val="105"/>
          <w:sz w:val="22"/>
        </w:rPr>
        <w:t> </w:t>
      </w:r>
      <w:r>
        <w:rPr>
          <w:spacing w:val="-2"/>
          <w:w w:val="105"/>
          <w:sz w:val="22"/>
        </w:rPr>
        <w:t>reason</w:t>
      </w:r>
    </w:p>
    <w:p>
      <w:pPr>
        <w:pStyle w:val="ListParagraph"/>
        <w:numPr>
          <w:ilvl w:val="0"/>
          <w:numId w:val="2"/>
        </w:numPr>
        <w:tabs>
          <w:tab w:pos="1801" w:val="left" w:leader="none"/>
        </w:tabs>
        <w:spacing w:line="240" w:lineRule="auto" w:before="3" w:after="0"/>
        <w:ind w:left="1801" w:right="0" w:hanging="360"/>
        <w:jc w:val="left"/>
        <w:rPr>
          <w:rFonts w:ascii="Symbol" w:hAnsi="Symbol"/>
          <w:sz w:val="22"/>
        </w:rPr>
      </w:pPr>
      <w:r>
        <w:rPr>
          <w:w w:val="105"/>
          <w:sz w:val="22"/>
        </w:rPr>
        <w:t>Relevant</w:t>
      </w:r>
      <w:r>
        <w:rPr>
          <w:spacing w:val="-8"/>
          <w:w w:val="105"/>
          <w:sz w:val="22"/>
        </w:rPr>
        <w:t> </w:t>
      </w:r>
      <w:r>
        <w:rPr>
          <w:w w:val="105"/>
          <w:sz w:val="22"/>
        </w:rPr>
        <w:t>supporting</w:t>
      </w:r>
      <w:r>
        <w:rPr>
          <w:spacing w:val="-7"/>
          <w:w w:val="105"/>
          <w:sz w:val="22"/>
        </w:rPr>
        <w:t> </w:t>
      </w:r>
      <w:r>
        <w:rPr>
          <w:spacing w:val="-2"/>
          <w:w w:val="105"/>
          <w:sz w:val="22"/>
        </w:rPr>
        <w:t>documentation</w:t>
      </w:r>
    </w:p>
    <w:sectPr>
      <w:pgSz w:w="12240" w:h="15840"/>
      <w:pgMar w:top="13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800" w:hanging="360"/>
      </w:pPr>
      <w:rPr>
        <w:rFonts w:hint="default" w:ascii="Symbol" w:hAnsi="Symbol" w:eastAsia="Symbol" w:cs="Symbol"/>
        <w:spacing w:val="0"/>
        <w:w w:val="100"/>
        <w:lang w:val="en-US" w:eastAsia="en-US" w:bidi="ar-SA"/>
      </w:rPr>
    </w:lvl>
    <w:lvl w:ilvl="1">
      <w:start w:val="0"/>
      <w:numFmt w:val="bullet"/>
      <w:lvlText w:val="•"/>
      <w:lvlJc w:val="left"/>
      <w:pPr>
        <w:ind w:left="2844" w:hanging="360"/>
      </w:pPr>
      <w:rPr>
        <w:rFonts w:hint="default"/>
        <w:lang w:val="en-US" w:eastAsia="en-US" w:bidi="ar-SA"/>
      </w:rPr>
    </w:lvl>
    <w:lvl w:ilvl="2">
      <w:start w:val="0"/>
      <w:numFmt w:val="bullet"/>
      <w:lvlText w:val="•"/>
      <w:lvlJc w:val="left"/>
      <w:pPr>
        <w:ind w:left="388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976" w:hanging="360"/>
      </w:pPr>
      <w:rPr>
        <w:rFonts w:hint="default"/>
        <w:lang w:val="en-US" w:eastAsia="en-US" w:bidi="ar-SA"/>
      </w:rPr>
    </w:lvl>
    <w:lvl w:ilvl="5">
      <w:start w:val="0"/>
      <w:numFmt w:val="bullet"/>
      <w:lvlText w:val="•"/>
      <w:lvlJc w:val="left"/>
      <w:pPr>
        <w:ind w:left="7020" w:hanging="360"/>
      </w:pPr>
      <w:rPr>
        <w:rFonts w:hint="default"/>
        <w:lang w:val="en-US" w:eastAsia="en-US" w:bidi="ar-SA"/>
      </w:rPr>
    </w:lvl>
    <w:lvl w:ilvl="6">
      <w:start w:val="0"/>
      <w:numFmt w:val="bullet"/>
      <w:lvlText w:val="•"/>
      <w:lvlJc w:val="left"/>
      <w:pPr>
        <w:ind w:left="8064" w:hanging="360"/>
      </w:pPr>
      <w:rPr>
        <w:rFonts w:hint="default"/>
        <w:lang w:val="en-US" w:eastAsia="en-US" w:bidi="ar-SA"/>
      </w:rPr>
    </w:lvl>
    <w:lvl w:ilvl="7">
      <w:start w:val="0"/>
      <w:numFmt w:val="bullet"/>
      <w:lvlText w:val="•"/>
      <w:lvlJc w:val="left"/>
      <w:pPr>
        <w:ind w:left="9108" w:hanging="360"/>
      </w:pPr>
      <w:rPr>
        <w:rFonts w:hint="default"/>
        <w:lang w:val="en-US" w:eastAsia="en-US" w:bidi="ar-SA"/>
      </w:rPr>
    </w:lvl>
    <w:lvl w:ilvl="8">
      <w:start w:val="0"/>
      <w:numFmt w:val="bullet"/>
      <w:lvlText w:val="•"/>
      <w:lvlJc w:val="left"/>
      <w:pPr>
        <w:ind w:left="10152" w:hanging="360"/>
      </w:pPr>
      <w:rPr>
        <w:rFonts w:hint="default"/>
        <w:lang w:val="en-US" w:eastAsia="en-US" w:bidi="ar-SA"/>
      </w:rPr>
    </w:lvl>
  </w:abstractNum>
  <w:abstractNum w:abstractNumId="0">
    <w:multiLevelType w:val="hybridMultilevel"/>
    <w:lvl w:ilvl="0">
      <w:start w:val="1"/>
      <w:numFmt w:val="decimal"/>
      <w:lvlText w:val="%1."/>
      <w:lvlJc w:val="left"/>
      <w:pPr>
        <w:ind w:left="432" w:hanging="245"/>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620" w:hanging="245"/>
      </w:pPr>
      <w:rPr>
        <w:rFonts w:hint="default"/>
        <w:lang w:val="en-US" w:eastAsia="en-US" w:bidi="ar-SA"/>
      </w:rPr>
    </w:lvl>
    <w:lvl w:ilvl="2">
      <w:start w:val="0"/>
      <w:numFmt w:val="bullet"/>
      <w:lvlText w:val="•"/>
      <w:lvlJc w:val="left"/>
      <w:pPr>
        <w:ind w:left="2800" w:hanging="245"/>
      </w:pPr>
      <w:rPr>
        <w:rFonts w:hint="default"/>
        <w:lang w:val="en-US" w:eastAsia="en-US" w:bidi="ar-SA"/>
      </w:rPr>
    </w:lvl>
    <w:lvl w:ilvl="3">
      <w:start w:val="0"/>
      <w:numFmt w:val="bullet"/>
      <w:lvlText w:val="•"/>
      <w:lvlJc w:val="left"/>
      <w:pPr>
        <w:ind w:left="3980" w:hanging="245"/>
      </w:pPr>
      <w:rPr>
        <w:rFonts w:hint="default"/>
        <w:lang w:val="en-US" w:eastAsia="en-US" w:bidi="ar-SA"/>
      </w:rPr>
    </w:lvl>
    <w:lvl w:ilvl="4">
      <w:start w:val="0"/>
      <w:numFmt w:val="bullet"/>
      <w:lvlText w:val="•"/>
      <w:lvlJc w:val="left"/>
      <w:pPr>
        <w:ind w:left="5160" w:hanging="245"/>
      </w:pPr>
      <w:rPr>
        <w:rFonts w:hint="default"/>
        <w:lang w:val="en-US" w:eastAsia="en-US" w:bidi="ar-SA"/>
      </w:rPr>
    </w:lvl>
    <w:lvl w:ilvl="5">
      <w:start w:val="0"/>
      <w:numFmt w:val="bullet"/>
      <w:lvlText w:val="•"/>
      <w:lvlJc w:val="left"/>
      <w:pPr>
        <w:ind w:left="6340" w:hanging="245"/>
      </w:pPr>
      <w:rPr>
        <w:rFonts w:hint="default"/>
        <w:lang w:val="en-US" w:eastAsia="en-US" w:bidi="ar-SA"/>
      </w:rPr>
    </w:lvl>
    <w:lvl w:ilvl="6">
      <w:start w:val="0"/>
      <w:numFmt w:val="bullet"/>
      <w:lvlText w:val="•"/>
      <w:lvlJc w:val="left"/>
      <w:pPr>
        <w:ind w:left="7520" w:hanging="245"/>
      </w:pPr>
      <w:rPr>
        <w:rFonts w:hint="default"/>
        <w:lang w:val="en-US" w:eastAsia="en-US" w:bidi="ar-SA"/>
      </w:rPr>
    </w:lvl>
    <w:lvl w:ilvl="7">
      <w:start w:val="0"/>
      <w:numFmt w:val="bullet"/>
      <w:lvlText w:val="•"/>
      <w:lvlJc w:val="left"/>
      <w:pPr>
        <w:ind w:left="8700" w:hanging="245"/>
      </w:pPr>
      <w:rPr>
        <w:rFonts w:hint="default"/>
        <w:lang w:val="en-US" w:eastAsia="en-US" w:bidi="ar-SA"/>
      </w:rPr>
    </w:lvl>
    <w:lvl w:ilvl="8">
      <w:start w:val="0"/>
      <w:numFmt w:val="bullet"/>
      <w:lvlText w:val="•"/>
      <w:lvlJc w:val="left"/>
      <w:pPr>
        <w:ind w:left="9880" w:hanging="24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799"/>
    </w:pPr>
    <w:rPr>
      <w:rFonts w:ascii="Calibri" w:hAnsi="Calibri" w:eastAsia="Calibri" w:cs="Calibri"/>
      <w:sz w:val="24"/>
      <w:szCs w:val="24"/>
      <w:lang w:val="en-US" w:eastAsia="en-US" w:bidi="ar-SA"/>
    </w:rPr>
  </w:style>
  <w:style w:styleId="Heading1" w:type="paragraph">
    <w:name w:val="Heading 1"/>
    <w:basedOn w:val="Normal"/>
    <w:uiPriority w:val="1"/>
    <w:qFormat/>
    <w:pPr>
      <w:ind w:left="484" w:right="482"/>
      <w:jc w:val="center"/>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484" w:right="481"/>
      <w:jc w:val="center"/>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spacing w:before="180"/>
      <w:ind w:left="1079"/>
      <w:outlineLvl w:val="3"/>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4"/>
      <w:ind w:left="1799"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Alldredge</dc:creator>
  <dc:description/>
  <dcterms:created xsi:type="dcterms:W3CDTF">2026-08-11T17:32:07Z</dcterms:created>
  <dcterms:modified xsi:type="dcterms:W3CDTF">2026-08-11T17:32:07Z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Acrobat PDFMaker 26 for Word</vt:lpwstr>
  </property>
  <property fmtid="{D5CDD505-2E9C-101B-9397-08002B2CF9AE}" pid="4" name="LastSaved">
    <vt:filetime>2026-08-11T00:00:00Z</vt:filetime>
  </property>
  <property fmtid="{D5CDD505-2E9C-101B-9397-08002B2CF9AE}" pid="5" name="Producer">
    <vt:lpwstr>Adobe PDF Library 26.1.11</vt:lpwstr>
  </property>
  <property fmtid="{D5CDD505-2E9C-101B-9397-08002B2CF9AE}" pid="6" name="SourceModified">
    <vt:lpwstr/>
  </property>
</Properties>
</file>